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spacing w:line="360" w:lineRule="auto"/>
      </w:pPr>
    </w:p>
    <w:p>
      <w:pPr>
        <w:spacing w:line="360" w:lineRule="auto"/>
        <w:jc w:val="center"/>
        <w:rPr>
          <w:rFonts w:ascii="微软雅黑" w:hAnsi="微软雅黑" w:eastAsia="微软雅黑" w:cs="Times New Roman"/>
          <w:b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sz w:val="44"/>
          <w:szCs w:val="44"/>
        </w:rPr>
        <w:t>外文文献保障服务平台</w:t>
      </w:r>
    </w:p>
    <w:p>
      <w:pPr>
        <w:spacing w:line="360" w:lineRule="auto"/>
        <w:jc w:val="center"/>
        <w:rPr>
          <w:rFonts w:ascii="微软雅黑" w:hAnsi="微软雅黑" w:eastAsia="微软雅黑" w:cs="Times New Roman"/>
          <w:b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sz w:val="44"/>
          <w:szCs w:val="44"/>
        </w:rPr>
        <w:t>使用手册</w:t>
      </w:r>
    </w:p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widowControl/>
        <w:spacing w:line="360" w:lineRule="auto"/>
        <w:ind w:firstLine="600" w:firstLineChars="200"/>
        <w:rPr>
          <w:rFonts w:ascii="黑体" w:hAnsi="黑体" w:eastAsia="黑体"/>
          <w:sz w:val="30"/>
          <w:szCs w:val="30"/>
        </w:rPr>
      </w:pPr>
    </w:p>
    <w:p>
      <w:pPr>
        <w:spacing w:line="360" w:lineRule="auto"/>
        <w:jc w:val="center"/>
        <w:rPr>
          <w:rFonts w:ascii="微软雅黑" w:hAnsi="微软雅黑" w:eastAsia="微软雅黑" w:cs="Times New Roman"/>
          <w:b/>
          <w:sz w:val="32"/>
          <w:szCs w:val="44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微软雅黑" w:hAnsi="微软雅黑" w:eastAsia="微软雅黑" w:cs="Times New Roman"/>
          <w:b/>
          <w:sz w:val="32"/>
          <w:szCs w:val="44"/>
        </w:rPr>
        <w:t>北京万方数据股份有限公司</w:t>
      </w:r>
    </w:p>
    <w:p>
      <w:pPr>
        <w:pStyle w:val="2"/>
        <w:spacing w:before="600" w:after="400" w:line="576" w:lineRule="auto"/>
        <w:jc w:val="center"/>
        <w:rPr>
          <w:rFonts w:ascii="黑体" w:hAnsi="黑体" w:eastAsia="黑体"/>
          <w:sz w:val="32"/>
          <w:szCs w:val="32"/>
        </w:rPr>
      </w:pPr>
      <w:bookmarkStart w:id="0" w:name="_Toc490828382"/>
      <w:r>
        <w:rPr>
          <w:rFonts w:ascii="黑体" w:hAnsi="黑体" w:eastAsia="黑体"/>
          <w:sz w:val="32"/>
          <w:szCs w:val="32"/>
        </w:rPr>
        <w:t>第一部分 概述</w:t>
      </w:r>
      <w:bookmarkEnd w:id="0"/>
    </w:p>
    <w:p>
      <w:pPr>
        <w:pStyle w:val="3"/>
        <w:numPr>
          <w:ilvl w:val="0"/>
          <w:numId w:val="1"/>
        </w:numPr>
        <w:spacing w:line="360" w:lineRule="auto"/>
        <w:rPr>
          <w:rFonts w:ascii="黑体" w:hAnsi="黑体" w:eastAsia="黑体"/>
          <w:sz w:val="30"/>
          <w:szCs w:val="30"/>
        </w:rPr>
      </w:pPr>
      <w:bookmarkStart w:id="1" w:name="_Toc490828383"/>
      <w:bookmarkStart w:id="2" w:name="_Toc479873534"/>
      <w:r>
        <w:rPr>
          <w:rFonts w:ascii="黑体" w:hAnsi="黑体" w:eastAsia="黑体"/>
          <w:sz w:val="30"/>
          <w:szCs w:val="30"/>
        </w:rPr>
        <w:t>总体概况</w:t>
      </w:r>
      <w:bookmarkEnd w:id="1"/>
      <w:bookmarkEnd w:id="2"/>
    </w:p>
    <w:p>
      <w:pPr>
        <w:ind w:firstLine="480" w:firstLineChars="200"/>
        <w:rPr>
          <w:sz w:val="24"/>
          <w:szCs w:val="24"/>
        </w:rPr>
      </w:pPr>
      <w:bookmarkStart w:id="3" w:name="_Hlk40946462"/>
      <w:r>
        <w:rPr>
          <w:rFonts w:hint="eastAsia"/>
          <w:sz w:val="24"/>
          <w:szCs w:val="24"/>
        </w:rPr>
        <w:t>“外文文献保障平台”以大数据环境下的知识发现技术为基础，整合、关联、挖掘数亿条全球优质外文学术资源，旨在切实提升全球科技文献资源的可发现度、可及性与可利用率，协助用户最大限度地组织文献资源为教学和科研服务；同时协助评估电子资源的学科保障率与利用率情况，支持向精细化资源管理与建设转型，变资源、服务采购为能力建设提升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平台面向教学、科研等学术活动，不仅保障了全面、专业的文献发现，而且支撑着“基础平台 + 咨询服务 + 解决方案 + 数据提供 + 服务保障”的业务需求，其主要功能有： </w:t>
      </w:r>
    </w:p>
    <w:p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资源导航：平台提供期刊、学位、会议、科技报告四类资源的多维度导航，便于对资源的筛选和浏览。</w:t>
      </w:r>
    </w:p>
    <w:p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检索功能：本系统提供基本检索功能，包含常用的检索字段及检索限制选项，支持布尔逻辑检索及精确、模糊等多种检索方式。</w:t>
      </w:r>
      <w:bookmarkStart w:id="4" w:name="_Toc429505653"/>
    </w:p>
    <w:bookmarkEnd w:id="4"/>
    <w:p>
      <w:pPr>
        <w:numPr>
          <w:ilvl w:val="0"/>
          <w:numId w:val="2"/>
        </w:numPr>
        <w:rPr>
          <w:sz w:val="24"/>
          <w:szCs w:val="24"/>
        </w:rPr>
      </w:pPr>
      <w:bookmarkStart w:id="5" w:name="_Toc429505654"/>
      <w:r>
        <w:rPr>
          <w:rFonts w:hint="eastAsia"/>
          <w:sz w:val="24"/>
          <w:szCs w:val="24"/>
        </w:rPr>
        <w:t>资源获取</w:t>
      </w:r>
      <w:bookmarkEnd w:id="5"/>
      <w:r>
        <w:rPr>
          <w:rFonts w:hint="eastAsia"/>
          <w:sz w:val="24"/>
          <w:szCs w:val="24"/>
        </w:rPr>
        <w:t>：根据系统检索到的资源来源和质量情况，以及与第三方资源合作情况，对各类文献资源提供完善的获取手段。</w:t>
      </w:r>
    </w:p>
    <w:p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增值服务：本系统为用户提供个性化、用户可定制的外文文献保障服务，主要包括首页logo定制、首页功能模块和展示的定制等。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云计算技术、大数据技术、人工智能（自然语言处理方向）是外文文献保障服务平台综合应用的主要三大技术领域，并且系统架构有着安全、稳定的开放性。</w:t>
      </w:r>
    </w:p>
    <w:p>
      <w:pPr>
        <w:numPr>
          <w:ilvl w:val="0"/>
          <w:numId w:val="3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云计算技术：云系统及其子系统采用分布式架构（分布式计算、分布式存储、分布式文件系统、分布式数据库），通过云计算管理中心实现统一的调度管理，并由云计算安全中心进行网络、数据、系统等方面的安全性保障</w:t>
      </w:r>
    </w:p>
    <w:p>
      <w:pPr>
        <w:numPr>
          <w:ilvl w:val="0"/>
          <w:numId w:val="3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大数据技术：大数据的整合与预处理，保障多源、异构数据的统一与规范；综合应用</w:t>
      </w:r>
      <w:r>
        <w:rPr>
          <w:sz w:val="24"/>
          <w:szCs w:val="24"/>
        </w:rPr>
        <w:t>Hadoop</w:t>
      </w:r>
      <w:r>
        <w:rPr>
          <w:rFonts w:hint="eastAsia"/>
          <w:sz w:val="24"/>
          <w:szCs w:val="24"/>
        </w:rPr>
        <w:t>、S</w:t>
      </w:r>
      <w:r>
        <w:rPr>
          <w:sz w:val="24"/>
          <w:szCs w:val="24"/>
        </w:rPr>
        <w:t>park</w:t>
      </w:r>
      <w:r>
        <w:rPr>
          <w:rFonts w:hint="eastAsia"/>
          <w:sz w:val="24"/>
          <w:szCs w:val="24"/>
        </w:rPr>
        <w:t>等的大数据分析与计算系统。</w:t>
      </w:r>
    </w:p>
    <w:p>
      <w:pPr>
        <w:numPr>
          <w:ilvl w:val="0"/>
          <w:numId w:val="3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人工智能技术（自然语言处理方向）：以S</w:t>
      </w:r>
      <w:r>
        <w:rPr>
          <w:sz w:val="24"/>
          <w:szCs w:val="24"/>
        </w:rPr>
        <w:t>olr</w:t>
      </w:r>
      <w:r>
        <w:rPr>
          <w:rFonts w:hint="eastAsia"/>
          <w:sz w:val="24"/>
          <w:szCs w:val="24"/>
        </w:rPr>
        <w:t>Cloud为核心的智慧搜索引擎，并应用了文本挖掘、语义搜索的等领域的相关沉淀。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</w:rPr>
      </w:pPr>
    </w:p>
    <w:p>
      <w:pPr>
        <w:pStyle w:val="2"/>
        <w:spacing w:before="600" w:after="400" w:line="576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第二部分</w:t>
      </w:r>
      <w:r>
        <w:rPr>
          <w:rFonts w:ascii="黑体" w:hAnsi="黑体" w:eastAsia="黑体"/>
          <w:sz w:val="32"/>
          <w:szCs w:val="32"/>
        </w:rPr>
        <w:t xml:space="preserve"> </w:t>
      </w:r>
      <w:r>
        <w:rPr>
          <w:rFonts w:hint="eastAsia" w:ascii="黑体" w:hAnsi="黑体" w:eastAsia="黑体"/>
          <w:sz w:val="32"/>
          <w:szCs w:val="32"/>
        </w:rPr>
        <w:t>系统首页和用户登录</w:t>
      </w:r>
    </w:p>
    <w:p>
      <w:pPr>
        <w:pStyle w:val="16"/>
        <w:numPr>
          <w:ilvl w:val="0"/>
          <w:numId w:val="4"/>
        </w:numPr>
        <w:ind w:firstLineChars="0"/>
        <w:outlineLvl w:val="1"/>
        <w:rPr>
          <w:b/>
          <w:bCs/>
          <w:sz w:val="24"/>
          <w:szCs w:val="24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系统首页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外文文献保障V1.0（也称外文文献保障服务平台）系统首页如下图所示。首页提供文献分析服务、选题服务、国际科技引文服务、科研资助服务的功能入口。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439920" cy="6134100"/>
            <wp:effectExtent l="0" t="0" r="177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b="624"/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jc w:val="center"/>
        <w:rPr>
          <w:rFonts w:hint="eastAsia" w:ascii="楷体" w:hAnsi="楷体" w:eastAsia="楷体"/>
          <w:sz w:val="21"/>
          <w:szCs w:val="21"/>
        </w:rPr>
      </w:pPr>
      <w:r>
        <w:rPr>
          <w:rFonts w:ascii="楷体" w:hAnsi="楷体" w:eastAsia="楷体"/>
          <w:sz w:val="21"/>
          <w:szCs w:val="21"/>
        </w:rPr>
        <w:t xml:space="preserve">Figure </w:t>
      </w:r>
      <w:r>
        <w:rPr>
          <w:rFonts w:hint="eastAsia" w:ascii="楷体" w:hAnsi="楷体" w:eastAsia="楷体"/>
          <w:sz w:val="21"/>
          <w:szCs w:val="21"/>
        </w:rPr>
        <w:t>1</w:t>
      </w:r>
      <w:r>
        <w:rPr>
          <w:rFonts w:ascii="楷体" w:hAnsi="楷体" w:eastAsia="楷体"/>
          <w:sz w:val="21"/>
          <w:szCs w:val="21"/>
        </w:rPr>
        <w:t xml:space="preserve"> </w:t>
      </w:r>
      <w:r>
        <w:rPr>
          <w:rFonts w:hint="eastAsia" w:ascii="楷体" w:hAnsi="楷体" w:eastAsia="楷体"/>
          <w:sz w:val="21"/>
          <w:szCs w:val="21"/>
        </w:rPr>
        <w:t>首页</w:t>
      </w:r>
    </w:p>
    <w:p>
      <w:pPr>
        <w:rPr>
          <w:rFonts w:hint="eastAsia"/>
        </w:rPr>
      </w:pPr>
    </w:p>
    <w:p>
      <w:pPr>
        <w:pStyle w:val="16"/>
        <w:numPr>
          <w:ilvl w:val="0"/>
          <w:numId w:val="4"/>
        </w:numPr>
        <w:ind w:firstLineChars="0"/>
        <w:outlineLvl w:val="1"/>
        <w:rPr>
          <w:b/>
          <w:bCs/>
          <w:sz w:val="24"/>
          <w:szCs w:val="24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用户登录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系统提供机构用户登录方式。同一终端可登录一个机构账号；用户登录机构帐号可使用用户名密码登录、</w:t>
      </w:r>
      <w:r>
        <w:rPr>
          <w:sz w:val="24"/>
          <w:szCs w:val="24"/>
        </w:rPr>
        <w:t>IP自动登录</w:t>
      </w:r>
      <w:r>
        <w:rPr>
          <w:rFonts w:hint="eastAsia"/>
          <w:sz w:val="24"/>
          <w:szCs w:val="24"/>
        </w:rPr>
        <w:t>、I</w:t>
      </w:r>
      <w:r>
        <w:rPr>
          <w:sz w:val="24"/>
          <w:szCs w:val="24"/>
        </w:rPr>
        <w:t>P</w:t>
      </w:r>
      <w:r>
        <w:rPr>
          <w:rFonts w:hint="eastAsia"/>
          <w:sz w:val="24"/>
          <w:szCs w:val="24"/>
        </w:rPr>
        <w:t>+用户名密码三</w:t>
      </w:r>
      <w:r>
        <w:rPr>
          <w:sz w:val="24"/>
          <w:szCs w:val="24"/>
        </w:rPr>
        <w:t>种方式。</w:t>
      </w:r>
    </w:p>
    <w:p>
      <w:pPr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机构用户由产品后台注册，不在IP范围内时，通过登录用户名密码使用。</w:t>
      </w:r>
    </w:p>
    <w:p>
      <w:pPr>
        <w:ind w:firstLine="48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为了避免影响他人使用，登录2小时后自动退出。</w:t>
      </w:r>
    </w:p>
    <w:p>
      <w:pPr>
        <w:ind w:firstLine="480"/>
      </w:pPr>
      <w:r>
        <w:rPr>
          <w:rFonts w:hint="eastAsia"/>
          <w:sz w:val="24"/>
          <w:szCs w:val="24"/>
        </w:rPr>
        <w:t>机构用户登录页面如下：</w:t>
      </w:r>
    </w:p>
    <w:p>
      <w:pPr>
        <w:jc w:val="center"/>
      </w:pPr>
      <w:r>
        <w:drawing>
          <wp:inline distT="0" distB="0" distL="114300" distR="114300">
            <wp:extent cx="4582795" cy="2092960"/>
            <wp:effectExtent l="0" t="0" r="8255" b="2540"/>
            <wp:docPr id="29" name="图片 29" descr="d32fab6c0247e5b4bd473da49551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32fab6c0247e5b4bd473da49551dc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jc w:val="center"/>
        <w:rPr>
          <w:rFonts w:ascii="楷体" w:hAnsi="楷体" w:eastAsia="楷体"/>
          <w:sz w:val="21"/>
          <w:szCs w:val="21"/>
        </w:rPr>
      </w:pPr>
      <w:r>
        <w:rPr>
          <w:rFonts w:ascii="楷体" w:hAnsi="楷体" w:eastAsia="楷体"/>
          <w:sz w:val="21"/>
          <w:szCs w:val="21"/>
        </w:rPr>
        <w:t xml:space="preserve">Figure </w:t>
      </w:r>
      <w:r>
        <w:rPr>
          <w:rFonts w:hint="eastAsia" w:ascii="楷体" w:hAnsi="楷体" w:eastAsia="楷体"/>
          <w:sz w:val="21"/>
          <w:szCs w:val="21"/>
        </w:rPr>
        <w:t>2</w:t>
      </w:r>
      <w:r>
        <w:rPr>
          <w:rFonts w:ascii="楷体" w:hAnsi="楷体" w:eastAsia="楷体"/>
          <w:sz w:val="21"/>
          <w:szCs w:val="21"/>
        </w:rPr>
        <w:t xml:space="preserve"> </w:t>
      </w:r>
      <w:r>
        <w:rPr>
          <w:rFonts w:hint="eastAsia" w:ascii="楷体" w:hAnsi="楷体" w:eastAsia="楷体"/>
          <w:sz w:val="21"/>
          <w:szCs w:val="21"/>
        </w:rPr>
        <w:t>登录页面</w:t>
      </w:r>
    </w:p>
    <w:p>
      <w:pPr>
        <w:jc w:val="center"/>
        <w:rPr>
          <w:sz w:val="24"/>
          <w:szCs w:val="24"/>
        </w:rPr>
      </w:pPr>
    </w:p>
    <w:p>
      <w:pPr>
        <w:pStyle w:val="2"/>
        <w:spacing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第三</w:t>
      </w:r>
      <w:r>
        <w:rPr>
          <w:rFonts w:ascii="黑体" w:hAnsi="黑体" w:eastAsia="黑体"/>
          <w:sz w:val="32"/>
          <w:szCs w:val="32"/>
        </w:rPr>
        <w:t xml:space="preserve">部分 </w:t>
      </w:r>
      <w:r>
        <w:rPr>
          <w:rFonts w:hint="eastAsia" w:ascii="黑体" w:hAnsi="黑体" w:eastAsia="黑体"/>
          <w:sz w:val="32"/>
          <w:szCs w:val="32"/>
        </w:rPr>
        <w:t>资源导航使用说明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平台提供期刊、学位、会议、科技报告资源的多重维度的导航浏览功能。</w:t>
      </w:r>
    </w:p>
    <w:p>
      <w:pPr>
        <w:widowControl/>
        <w:spacing w:line="360" w:lineRule="auto"/>
        <w:ind w:firstLine="420" w:firstLineChars="200"/>
        <w:jc w:val="center"/>
        <w:rPr>
          <w:sz w:val="24"/>
          <w:szCs w:val="24"/>
        </w:rPr>
      </w:pPr>
      <w:r>
        <w:rPr>
          <w:rFonts w:hint="eastAsia" w:ascii="楷体" w:hAnsi="楷体" w:eastAsia="楷体"/>
          <w:szCs w:val="21"/>
        </w:rPr>
        <w:t>表1</w:t>
      </w:r>
      <w:r>
        <w:rPr>
          <w:rFonts w:ascii="楷体" w:hAnsi="楷体" w:eastAsia="楷体"/>
          <w:szCs w:val="21"/>
        </w:rPr>
        <w:t xml:space="preserve"> </w:t>
      </w:r>
      <w:r>
        <w:rPr>
          <w:rFonts w:hint="eastAsia" w:ascii="楷体" w:hAnsi="楷体" w:eastAsia="楷体"/>
          <w:szCs w:val="21"/>
        </w:rPr>
        <w:t>资源导航介绍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3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  <w:shd w:val="clear" w:color="auto" w:fill="DEEBF6" w:themeFill="accent5" w:themeFillTint="32"/>
          </w:tcPr>
          <w:p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资源类型</w:t>
            </w:r>
          </w:p>
        </w:tc>
        <w:tc>
          <w:tcPr>
            <w:tcW w:w="3828" w:type="dxa"/>
            <w:shd w:val="clear" w:color="auto" w:fill="DEEBF6" w:themeFill="accent5" w:themeFillTint="32"/>
          </w:tcPr>
          <w:p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导航维度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</w:tcPr>
          <w:p>
            <w:pPr>
              <w:jc w:val="left"/>
            </w:pPr>
            <w:r>
              <w:rPr>
                <w:rFonts w:hint="eastAsia"/>
              </w:rPr>
              <w:t>期刊</w:t>
            </w:r>
          </w:p>
        </w:tc>
        <w:tc>
          <w:tcPr>
            <w:tcW w:w="3828" w:type="dxa"/>
          </w:tcPr>
          <w:p>
            <w:pPr>
              <w:jc w:val="left"/>
            </w:pPr>
            <w:r>
              <w:rPr>
                <w:rFonts w:hint="eastAsia"/>
              </w:rPr>
              <w:t>学科分类、出版来源、语种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</w:tcPr>
          <w:p>
            <w:pPr>
              <w:jc w:val="left"/>
            </w:pPr>
            <w:r>
              <w:rPr>
                <w:rFonts w:hint="eastAsia"/>
              </w:rPr>
              <w:t>学位</w:t>
            </w:r>
          </w:p>
        </w:tc>
        <w:tc>
          <w:tcPr>
            <w:tcW w:w="3828" w:type="dxa"/>
          </w:tcPr>
          <w:p>
            <w:pPr>
              <w:jc w:val="left"/>
            </w:pPr>
            <w:r>
              <w:rPr>
                <w:rFonts w:hint="eastAsia"/>
              </w:rPr>
              <w:t>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</w:tcPr>
          <w:p>
            <w:pPr>
              <w:jc w:val="left"/>
            </w:pPr>
            <w:r>
              <w:rPr>
                <w:rFonts w:hint="eastAsia"/>
              </w:rPr>
              <w:t>会议</w:t>
            </w:r>
          </w:p>
        </w:tc>
        <w:tc>
          <w:tcPr>
            <w:tcW w:w="3828" w:type="dxa"/>
          </w:tcPr>
          <w:p>
            <w:pPr>
              <w:jc w:val="left"/>
            </w:pPr>
            <w:r>
              <w:rPr>
                <w:rFonts w:hint="eastAsia"/>
              </w:rPr>
              <w:t>会议论文集、召开年份、举办地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</w:tcPr>
          <w:p>
            <w:pPr>
              <w:jc w:val="left"/>
            </w:pPr>
            <w:r>
              <w:rPr>
                <w:rFonts w:hint="eastAsia"/>
              </w:rPr>
              <w:t>科技报告</w:t>
            </w:r>
          </w:p>
        </w:tc>
        <w:tc>
          <w:tcPr>
            <w:tcW w:w="3828" w:type="dxa"/>
          </w:tcPr>
          <w:p>
            <w:pPr>
              <w:jc w:val="left"/>
            </w:pPr>
            <w:r>
              <w:rPr>
                <w:rFonts w:hint="eastAsia"/>
              </w:rPr>
              <w:t>科技报告来源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  <w:vAlign w:val="top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专利</w:t>
            </w:r>
          </w:p>
        </w:tc>
        <w:tc>
          <w:tcPr>
            <w:tcW w:w="3828" w:type="dxa"/>
            <w:vAlign w:val="top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IPC分类</w:t>
            </w:r>
          </w:p>
        </w:tc>
      </w:tr>
    </w:tbl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pStyle w:val="16"/>
        <w:widowControl/>
        <w:numPr>
          <w:ilvl w:val="0"/>
          <w:numId w:val="5"/>
        </w:numPr>
        <w:spacing w:line="360" w:lineRule="auto"/>
        <w:ind w:left="420" w:leftChars="200" w:firstLine="0" w:firstLineChars="0"/>
        <w:jc w:val="left"/>
        <w:outlineLvl w:val="1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期刊导航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期刊导航支持学科分类、出版来源、出版语种筛选，并可以选择仅查看 OA 期刊。支持刊名、ISSN、出版来源的检索，可按</w:t>
      </w:r>
      <w:r>
        <w:rPr>
          <w:rFonts w:hint="eastAsia"/>
          <w:sz w:val="24"/>
          <w:szCs w:val="24"/>
        </w:rPr>
        <w:t>更新</w:t>
      </w:r>
      <w:r>
        <w:rPr>
          <w:sz w:val="24"/>
          <w:szCs w:val="24"/>
        </w:rPr>
        <w:t>时间、首字母进行排序。</w:t>
      </w:r>
    </w:p>
    <w:p>
      <w:pPr>
        <w:pStyle w:val="16"/>
        <w:spacing w:line="360" w:lineRule="auto"/>
        <w:ind w:firstLine="0" w:firstLineChars="0"/>
        <w:rPr>
          <w:rFonts w:ascii="Arial" w:hAnsi="Arial" w:eastAsia="仿宋" w:cs="Arial"/>
          <w:sz w:val="28"/>
        </w:rPr>
      </w:pPr>
      <w:r>
        <w:drawing>
          <wp:inline distT="0" distB="0" distL="114300" distR="114300">
            <wp:extent cx="5267325" cy="2821940"/>
            <wp:effectExtent l="0" t="0" r="9525" b="165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5558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0" w:firstLineChars="0"/>
        <w:jc w:val="center"/>
        <w:rPr>
          <w:rFonts w:hint="eastAsia"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 xml:space="preserve">Figure </w:t>
      </w:r>
      <w:r>
        <w:rPr>
          <w:rFonts w:hint="eastAsia" w:ascii="楷体" w:hAnsi="楷体" w:eastAsia="楷体"/>
          <w:szCs w:val="21"/>
        </w:rPr>
        <w:t>3</w:t>
      </w:r>
      <w:r>
        <w:rPr>
          <w:rFonts w:ascii="楷体" w:hAnsi="楷体" w:eastAsia="楷体"/>
          <w:szCs w:val="21"/>
        </w:rPr>
        <w:t xml:space="preserve"> </w:t>
      </w:r>
      <w:r>
        <w:rPr>
          <w:rFonts w:hint="eastAsia" w:ascii="楷体" w:hAnsi="楷体" w:eastAsia="楷体"/>
          <w:szCs w:val="21"/>
        </w:rPr>
        <w:t>期刊导航</w:t>
      </w:r>
    </w:p>
    <w:p>
      <w:pPr>
        <w:pStyle w:val="16"/>
        <w:spacing w:line="360" w:lineRule="auto"/>
        <w:ind w:firstLine="0" w:firstLineChars="0"/>
        <w:jc w:val="both"/>
        <w:rPr>
          <w:rFonts w:hint="eastAsia" w:ascii="楷体" w:hAnsi="楷体" w:eastAsia="楷体"/>
          <w:szCs w:val="21"/>
        </w:rPr>
      </w:pPr>
    </w:p>
    <w:p>
      <w:pPr>
        <w:pStyle w:val="16"/>
        <w:widowControl/>
        <w:numPr>
          <w:ilvl w:val="0"/>
          <w:numId w:val="5"/>
        </w:numPr>
        <w:spacing w:line="360" w:lineRule="auto"/>
        <w:ind w:left="420" w:leftChars="200" w:firstLine="0" w:firstLineChars="0"/>
        <w:jc w:val="left"/>
        <w:outlineLvl w:val="1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学位导航</w:t>
      </w:r>
    </w:p>
    <w:p>
      <w:pPr>
        <w:widowControl/>
        <w:numPr>
          <w:ilvl w:val="255"/>
          <w:numId w:val="0"/>
        </w:numPr>
        <w:ind w:firstLine="480"/>
        <w:jc w:val="left"/>
      </w:pPr>
      <w:r>
        <w:rPr>
          <w:sz w:val="24"/>
          <w:szCs w:val="24"/>
        </w:rPr>
        <w:t>学位导航展示了平台收录的学位文献的学位授予单位，可通过首字母进行筛选查看，支持学校检索。</w:t>
      </w:r>
    </w:p>
    <w:p>
      <w:pPr>
        <w:widowControl/>
        <w:numPr>
          <w:ilvl w:val="255"/>
          <w:numId w:val="0"/>
        </w:numPr>
        <w:jc w:val="left"/>
      </w:pPr>
      <w:r>
        <w:drawing>
          <wp:inline distT="0" distB="0" distL="114300" distR="114300">
            <wp:extent cx="5189855" cy="2224405"/>
            <wp:effectExtent l="0" t="0" r="1079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r="1388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255"/>
          <w:numId w:val="0"/>
        </w:numPr>
        <w:jc w:val="left"/>
      </w:pPr>
    </w:p>
    <w:p>
      <w:pPr>
        <w:pStyle w:val="16"/>
        <w:spacing w:line="360" w:lineRule="auto"/>
        <w:ind w:firstLine="0" w:firstLineChars="0"/>
        <w:jc w:val="center"/>
        <w:rPr>
          <w:rFonts w:hint="eastAsia"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 xml:space="preserve">Figure </w:t>
      </w:r>
      <w:r>
        <w:rPr>
          <w:rFonts w:hint="eastAsia" w:ascii="楷体" w:hAnsi="楷体" w:eastAsia="楷体"/>
          <w:szCs w:val="21"/>
        </w:rPr>
        <w:t>4</w:t>
      </w:r>
      <w:r>
        <w:rPr>
          <w:rFonts w:ascii="楷体" w:hAnsi="楷体" w:eastAsia="楷体"/>
          <w:szCs w:val="21"/>
        </w:rPr>
        <w:t xml:space="preserve"> </w:t>
      </w:r>
      <w:r>
        <w:rPr>
          <w:rFonts w:hint="eastAsia" w:ascii="楷体" w:hAnsi="楷体" w:eastAsia="楷体"/>
          <w:szCs w:val="21"/>
        </w:rPr>
        <w:t>学位导航</w:t>
      </w:r>
    </w:p>
    <w:p>
      <w:pPr>
        <w:pStyle w:val="16"/>
        <w:widowControl/>
        <w:numPr>
          <w:ilvl w:val="0"/>
          <w:numId w:val="5"/>
        </w:numPr>
        <w:spacing w:line="360" w:lineRule="auto"/>
        <w:ind w:left="420" w:leftChars="200" w:firstLine="0" w:firstLineChars="0"/>
        <w:jc w:val="left"/>
        <w:outlineLvl w:val="1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会议导航</w:t>
      </w:r>
    </w:p>
    <w:p>
      <w:pPr>
        <w:spacing w:line="360" w:lineRule="auto"/>
        <w:ind w:firstLine="480"/>
        <w:jc w:val="left"/>
        <w:rPr>
          <w:rFonts w:ascii="Arial" w:hAnsi="Arial" w:eastAsia="仿宋" w:cs="Arial"/>
          <w:sz w:val="28"/>
        </w:rPr>
      </w:pPr>
      <w:r>
        <w:rPr>
          <w:sz w:val="24"/>
          <w:szCs w:val="24"/>
        </w:rPr>
        <w:t>会议导航支持召开年份、举办地点、首字母筛选。支持会议名称和会议地点的检索，可按召开时间进行排序。</w:t>
      </w:r>
    </w:p>
    <w:p>
      <w:pPr>
        <w:widowControl/>
        <w:numPr>
          <w:ilvl w:val="255"/>
          <w:numId w:val="0"/>
        </w:numPr>
        <w:jc w:val="center"/>
      </w:pPr>
      <w:r>
        <w:drawing>
          <wp:inline distT="0" distB="0" distL="114300" distR="114300">
            <wp:extent cx="5273675" cy="2163445"/>
            <wp:effectExtent l="0" t="0" r="3175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0" w:firstLineChars="0"/>
        <w:jc w:val="center"/>
        <w:rPr>
          <w:rFonts w:ascii="Arial" w:hAnsi="Arial" w:eastAsia="仿宋" w:cs="Arial"/>
          <w:sz w:val="28"/>
        </w:rPr>
      </w:pPr>
      <w:r>
        <w:rPr>
          <w:rFonts w:ascii="楷体" w:hAnsi="楷体" w:eastAsia="楷体"/>
          <w:szCs w:val="21"/>
        </w:rPr>
        <w:t xml:space="preserve">Figure </w:t>
      </w:r>
      <w:r>
        <w:rPr>
          <w:rFonts w:hint="eastAsia" w:ascii="楷体" w:hAnsi="楷体" w:eastAsia="楷体"/>
          <w:szCs w:val="21"/>
        </w:rPr>
        <w:t>5</w:t>
      </w:r>
      <w:r>
        <w:rPr>
          <w:rFonts w:ascii="楷体" w:hAnsi="楷体" w:eastAsia="楷体"/>
          <w:szCs w:val="21"/>
        </w:rPr>
        <w:t xml:space="preserve"> </w:t>
      </w:r>
      <w:r>
        <w:rPr>
          <w:rFonts w:hint="eastAsia" w:ascii="楷体" w:hAnsi="楷体" w:eastAsia="楷体"/>
          <w:szCs w:val="21"/>
        </w:rPr>
        <w:t>会议导航</w:t>
      </w:r>
    </w:p>
    <w:p>
      <w:pPr>
        <w:widowControl/>
        <w:numPr>
          <w:ilvl w:val="255"/>
          <w:numId w:val="0"/>
        </w:numPr>
        <w:jc w:val="left"/>
      </w:pPr>
    </w:p>
    <w:p>
      <w:pPr>
        <w:pStyle w:val="16"/>
        <w:widowControl/>
        <w:numPr>
          <w:ilvl w:val="0"/>
          <w:numId w:val="5"/>
        </w:numPr>
        <w:spacing w:line="360" w:lineRule="auto"/>
        <w:ind w:left="420" w:leftChars="200" w:firstLine="0" w:firstLineChars="0"/>
        <w:jc w:val="left"/>
        <w:outlineLvl w:val="1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科技报告导航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科技报告导航按照美国政府四大科技报告进行分类。</w:t>
      </w:r>
    </w:p>
    <w:p>
      <w:pPr>
        <w:widowControl/>
        <w:numPr>
          <w:ilvl w:val="255"/>
          <w:numId w:val="0"/>
        </w:numPr>
        <w:jc w:val="center"/>
      </w:pPr>
      <w:r>
        <w:drawing>
          <wp:inline distT="0" distB="0" distL="114300" distR="114300">
            <wp:extent cx="5266055" cy="2997835"/>
            <wp:effectExtent l="0" t="0" r="10795" b="1206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0" w:firstLineChars="0"/>
        <w:jc w:val="center"/>
        <w:rPr>
          <w:rFonts w:hint="eastAsia"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 xml:space="preserve">Figure </w:t>
      </w:r>
      <w:r>
        <w:rPr>
          <w:rFonts w:hint="eastAsia" w:ascii="楷体" w:hAnsi="楷体" w:eastAsia="楷体"/>
          <w:szCs w:val="21"/>
        </w:rPr>
        <w:t>6</w:t>
      </w:r>
      <w:r>
        <w:rPr>
          <w:rFonts w:ascii="楷体" w:hAnsi="楷体" w:eastAsia="楷体"/>
          <w:szCs w:val="21"/>
        </w:rPr>
        <w:t xml:space="preserve"> </w:t>
      </w:r>
      <w:r>
        <w:rPr>
          <w:rFonts w:hint="eastAsia" w:ascii="楷体" w:hAnsi="楷体" w:eastAsia="楷体"/>
          <w:szCs w:val="21"/>
        </w:rPr>
        <w:t>科技报告导航</w:t>
      </w:r>
    </w:p>
    <w:p>
      <w:pPr>
        <w:pStyle w:val="16"/>
        <w:spacing w:line="360" w:lineRule="auto"/>
        <w:ind w:firstLine="0" w:firstLineChars="0"/>
        <w:jc w:val="center"/>
        <w:rPr>
          <w:rFonts w:hint="eastAsia" w:ascii="楷体" w:hAnsi="楷体" w:eastAsia="楷体"/>
          <w:szCs w:val="21"/>
        </w:rPr>
      </w:pPr>
    </w:p>
    <w:p>
      <w:pPr>
        <w:pStyle w:val="16"/>
        <w:spacing w:line="360" w:lineRule="auto"/>
        <w:ind w:firstLine="0" w:firstLineChars="0"/>
        <w:jc w:val="both"/>
        <w:rPr>
          <w:rFonts w:hint="eastAsia" w:ascii="楷体" w:hAnsi="楷体" w:eastAsia="楷体"/>
          <w:szCs w:val="21"/>
        </w:rPr>
      </w:pPr>
    </w:p>
    <w:p>
      <w:pPr>
        <w:pStyle w:val="16"/>
        <w:widowControl/>
        <w:numPr>
          <w:ilvl w:val="0"/>
          <w:numId w:val="5"/>
        </w:numPr>
        <w:spacing w:line="360" w:lineRule="auto"/>
        <w:ind w:left="420" w:leftChars="200" w:firstLine="0" w:firstLineChars="0"/>
        <w:jc w:val="left"/>
        <w:outlineLvl w:val="1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专利</w:t>
      </w:r>
      <w:r>
        <w:rPr>
          <w:rFonts w:hint="eastAsia" w:ascii="黑体" w:hAnsi="黑体" w:eastAsia="黑体"/>
          <w:sz w:val="28"/>
          <w:szCs w:val="28"/>
        </w:rPr>
        <w:t>导航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专利</w:t>
      </w:r>
      <w:r>
        <w:rPr>
          <w:sz w:val="24"/>
          <w:szCs w:val="24"/>
        </w:rPr>
        <w:t>导航按照</w:t>
      </w:r>
      <w:r>
        <w:rPr>
          <w:rFonts w:hint="eastAsia"/>
          <w:sz w:val="24"/>
          <w:szCs w:val="24"/>
          <w:lang w:val="en-US" w:eastAsia="zh-CN"/>
        </w:rPr>
        <w:t>IPC分类法</w:t>
      </w:r>
      <w:r>
        <w:rPr>
          <w:sz w:val="24"/>
          <w:szCs w:val="24"/>
        </w:rPr>
        <w:t>进行分类。</w:t>
      </w:r>
    </w:p>
    <w:p>
      <w:pPr>
        <w:ind w:firstLine="420" w:firstLineChars="200"/>
        <w:jc w:val="left"/>
        <w:rPr>
          <w:sz w:val="24"/>
          <w:szCs w:val="24"/>
        </w:rPr>
      </w:pPr>
      <w:r>
        <w:drawing>
          <wp:inline distT="0" distB="0" distL="114300" distR="114300">
            <wp:extent cx="5272405" cy="2298700"/>
            <wp:effectExtent l="0" t="0" r="4445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0" w:firstLineChars="0"/>
        <w:jc w:val="center"/>
        <w:rPr>
          <w:rFonts w:hint="eastAsia"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 xml:space="preserve">Figure </w:t>
      </w:r>
      <w:r>
        <w:rPr>
          <w:rFonts w:hint="eastAsia" w:ascii="楷体" w:hAnsi="楷体" w:eastAsia="楷体"/>
          <w:szCs w:val="21"/>
          <w:lang w:val="en-US" w:eastAsia="zh-CN"/>
        </w:rPr>
        <w:t>7</w:t>
      </w:r>
      <w:r>
        <w:rPr>
          <w:rFonts w:ascii="楷体" w:hAnsi="楷体" w:eastAsia="楷体"/>
          <w:szCs w:val="21"/>
        </w:rPr>
        <w:t xml:space="preserve"> </w:t>
      </w:r>
      <w:r>
        <w:rPr>
          <w:rFonts w:hint="eastAsia" w:ascii="楷体" w:hAnsi="楷体" w:eastAsia="楷体"/>
          <w:szCs w:val="21"/>
          <w:lang w:val="en-US" w:eastAsia="zh-CN"/>
        </w:rPr>
        <w:t>专利</w:t>
      </w:r>
      <w:r>
        <w:rPr>
          <w:rFonts w:hint="eastAsia" w:ascii="楷体" w:hAnsi="楷体" w:eastAsia="楷体"/>
          <w:szCs w:val="21"/>
        </w:rPr>
        <w:t>导航</w:t>
      </w:r>
    </w:p>
    <w:p>
      <w:pPr>
        <w:pStyle w:val="16"/>
        <w:spacing w:line="360" w:lineRule="auto"/>
        <w:ind w:firstLine="0" w:firstLineChars="0"/>
        <w:jc w:val="both"/>
        <w:rPr>
          <w:rFonts w:hint="eastAsia" w:ascii="楷体" w:hAnsi="楷体" w:eastAsia="楷体"/>
          <w:szCs w:val="21"/>
        </w:rPr>
      </w:pPr>
    </w:p>
    <w:p>
      <w:pPr>
        <w:pStyle w:val="2"/>
        <w:spacing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第四</w:t>
      </w:r>
      <w:r>
        <w:rPr>
          <w:rFonts w:ascii="黑体" w:hAnsi="黑体" w:eastAsia="黑体"/>
          <w:sz w:val="32"/>
          <w:szCs w:val="32"/>
        </w:rPr>
        <w:t xml:space="preserve">部分 </w:t>
      </w:r>
      <w:r>
        <w:rPr>
          <w:rFonts w:hint="eastAsia" w:ascii="黑体" w:hAnsi="黑体" w:eastAsia="黑体"/>
          <w:sz w:val="32"/>
          <w:szCs w:val="32"/>
        </w:rPr>
        <w:t>文献检索模块使用说明</w:t>
      </w:r>
    </w:p>
    <w:p>
      <w:pPr>
        <w:widowControl/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外文文献保障仅提供基本检索的功能，包括PQ检索、精确和模糊检索、布尔逻辑检索，首页展示的一个输入框的检索为基本检索。</w:t>
      </w:r>
    </w:p>
    <w:p>
      <w:pPr>
        <w:keepNext/>
        <w:widowControl/>
        <w:spacing w:line="360" w:lineRule="auto"/>
        <w:jc w:val="center"/>
        <w:rPr>
          <w:rFonts w:hint="eastAsia" w:ascii="宋体" w:hAnsi="宋体" w:eastAsia="宋体"/>
          <w:lang w:eastAsia="zh-CN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drawing>
          <wp:inline distT="0" distB="0" distL="114300" distR="114300">
            <wp:extent cx="5265420" cy="1371600"/>
            <wp:effectExtent l="0" t="0" r="1143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jc w:val="center"/>
        <w:rPr>
          <w:rFonts w:hint="eastAsia" w:ascii="楷体" w:hAnsi="楷体" w:eastAsia="楷体"/>
          <w:sz w:val="21"/>
          <w:szCs w:val="21"/>
        </w:rPr>
      </w:pPr>
      <w:r>
        <w:rPr>
          <w:rFonts w:ascii="楷体" w:hAnsi="楷体" w:eastAsia="楷体"/>
          <w:sz w:val="21"/>
          <w:szCs w:val="21"/>
        </w:rPr>
        <w:t xml:space="preserve">Figure </w:t>
      </w:r>
      <w:r>
        <w:rPr>
          <w:rFonts w:hint="eastAsia" w:ascii="楷体" w:hAnsi="楷体" w:eastAsia="楷体"/>
          <w:sz w:val="21"/>
          <w:szCs w:val="21"/>
          <w:lang w:val="en-US" w:eastAsia="zh-CN"/>
        </w:rPr>
        <w:t>8</w:t>
      </w:r>
      <w:r>
        <w:rPr>
          <w:rFonts w:ascii="楷体" w:hAnsi="楷体" w:eastAsia="楷体"/>
          <w:sz w:val="21"/>
          <w:szCs w:val="21"/>
        </w:rPr>
        <w:t xml:space="preserve"> </w:t>
      </w:r>
      <w:r>
        <w:rPr>
          <w:rFonts w:hint="eastAsia" w:ascii="楷体" w:hAnsi="楷体" w:eastAsia="楷体"/>
          <w:sz w:val="21"/>
          <w:szCs w:val="21"/>
        </w:rPr>
        <w:t>基本检索入口</w:t>
      </w:r>
    </w:p>
    <w:p>
      <w:pPr>
        <w:rPr>
          <w:rFonts w:hint="eastAsia" w:ascii="楷体" w:hAnsi="楷体" w:eastAsia="楷体"/>
          <w:sz w:val="21"/>
          <w:szCs w:val="21"/>
        </w:rPr>
      </w:pPr>
    </w:p>
    <w:p>
      <w:pPr>
        <w:rPr>
          <w:rFonts w:hint="eastAsia" w:ascii="楷体" w:hAnsi="楷体" w:eastAsia="楷体"/>
          <w:sz w:val="21"/>
          <w:szCs w:val="21"/>
        </w:rPr>
      </w:pPr>
    </w:p>
    <w:p>
      <w:pPr>
        <w:pStyle w:val="16"/>
        <w:numPr>
          <w:ilvl w:val="0"/>
          <w:numId w:val="6"/>
        </w:numPr>
        <w:spacing w:line="360" w:lineRule="auto"/>
        <w:ind w:left="357" w:hanging="357" w:firstLineChars="0"/>
        <w:outlineLvl w:val="1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检索模块</w:t>
      </w:r>
    </w:p>
    <w:p>
      <w:pPr>
        <w:widowControl/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外文文献保障V1.0首页的检索框即为基本检索的输入框，实现多种资源类型、多种来源的一站式检索和发现。</w:t>
      </w:r>
    </w:p>
    <w:p>
      <w:pPr>
        <w:pStyle w:val="16"/>
        <w:widowControl/>
        <w:numPr>
          <w:ilvl w:val="255"/>
          <w:numId w:val="0"/>
        </w:numPr>
        <w:spacing w:before="156" w:beforeLines="50" w:after="156" w:afterLines="50" w:line="360" w:lineRule="auto"/>
        <w:ind w:left="6"/>
        <w:outlineLvl w:val="2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1.1 普通检索</w:t>
      </w:r>
    </w:p>
    <w:p>
      <w:pPr>
        <w:widowControl/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基本检索提供全部资源的统一检索和单独资源的检索，每种检索字段不同，其中，全部资源的检索字段为题名、关键词、摘要、作者和作者单位。您可以选择在特定的字段中检索或者直接进行检索。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PQ检索的检索字段如下所示：</w:t>
      </w:r>
    </w:p>
    <w:p>
      <w:pPr>
        <w:ind w:firstLine="420" w:firstLineChars="200"/>
        <w:jc w:val="center"/>
        <w:rPr>
          <w:sz w:val="24"/>
          <w:szCs w:val="24"/>
        </w:rPr>
      </w:pPr>
      <w:r>
        <w:rPr>
          <w:rFonts w:hint="eastAsia" w:ascii="楷体" w:hAnsi="楷体" w:eastAsia="楷体"/>
          <w:szCs w:val="21"/>
        </w:rPr>
        <w:t>表2</w:t>
      </w:r>
      <w:r>
        <w:rPr>
          <w:rFonts w:ascii="楷体" w:hAnsi="楷体" w:eastAsia="楷体"/>
          <w:szCs w:val="21"/>
        </w:rPr>
        <w:t xml:space="preserve"> </w:t>
      </w:r>
      <w:r>
        <w:rPr>
          <w:rFonts w:hint="eastAsia" w:ascii="楷体" w:hAnsi="楷体" w:eastAsia="楷体"/>
          <w:szCs w:val="21"/>
        </w:rPr>
        <w:t>PQ检索字段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59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  <w:shd w:val="clear" w:color="auto" w:fill="DEEBF6" w:themeFill="accent5" w:themeFillTint="32"/>
          </w:tcPr>
          <w:p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资源类型</w:t>
            </w:r>
          </w:p>
        </w:tc>
        <w:tc>
          <w:tcPr>
            <w:tcW w:w="5954" w:type="dxa"/>
            <w:shd w:val="clear" w:color="auto" w:fill="DEEBF6" w:themeFill="accent5" w:themeFillTint="32"/>
          </w:tcPr>
          <w:p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导航维度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</w:tcPr>
          <w:p>
            <w:pPr>
              <w:jc w:val="left"/>
            </w:pPr>
            <w:r>
              <w:rPr>
                <w:rFonts w:hint="eastAsia"/>
              </w:rPr>
              <w:t>全部</w:t>
            </w:r>
          </w:p>
        </w:tc>
        <w:tc>
          <w:tcPr>
            <w:tcW w:w="5954" w:type="dxa"/>
          </w:tcPr>
          <w:p>
            <w:pPr>
              <w:jc w:val="left"/>
            </w:pPr>
            <w:r>
              <w:rPr>
                <w:rFonts w:hint="eastAsia"/>
              </w:rPr>
              <w:t>题名、作者、作者单位、关键词、摘要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</w:tcPr>
          <w:p>
            <w:pPr>
              <w:jc w:val="left"/>
            </w:pPr>
            <w:r>
              <w:rPr>
                <w:rFonts w:hint="eastAsia"/>
              </w:rPr>
              <w:t>期刊</w:t>
            </w:r>
          </w:p>
        </w:tc>
        <w:tc>
          <w:tcPr>
            <w:tcW w:w="5954" w:type="dxa"/>
          </w:tcPr>
          <w:p>
            <w:pPr>
              <w:jc w:val="left"/>
            </w:pPr>
            <w:r>
              <w:rPr>
                <w:rFonts w:hint="eastAsia"/>
              </w:rPr>
              <w:t>题名、作者、作者单位、关键词、摘要、刊名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</w:tcPr>
          <w:p>
            <w:pPr>
              <w:jc w:val="left"/>
            </w:pPr>
            <w:r>
              <w:rPr>
                <w:rFonts w:hint="eastAsia"/>
              </w:rPr>
              <w:t>学位</w:t>
            </w:r>
          </w:p>
        </w:tc>
        <w:tc>
          <w:tcPr>
            <w:tcW w:w="5954" w:type="dxa"/>
          </w:tcPr>
          <w:p>
            <w:pPr>
              <w:jc w:val="left"/>
            </w:pPr>
            <w:r>
              <w:rPr>
                <w:rFonts w:hint="eastAsia"/>
              </w:rPr>
              <w:t>题名、作者、学位授予单位、导师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</w:tcPr>
          <w:p>
            <w:pPr>
              <w:jc w:val="left"/>
            </w:pPr>
            <w:r>
              <w:rPr>
                <w:rFonts w:hint="eastAsia"/>
              </w:rPr>
              <w:t>会议</w:t>
            </w:r>
          </w:p>
        </w:tc>
        <w:tc>
          <w:tcPr>
            <w:tcW w:w="5954" w:type="dxa"/>
          </w:tcPr>
          <w:p>
            <w:pPr>
              <w:jc w:val="left"/>
            </w:pPr>
            <w:r>
              <w:rPr>
                <w:rFonts w:hint="eastAsia"/>
              </w:rPr>
              <w:t>题名、作者、作者单位、关键词、摘要、会议名称、会议地点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</w:tcPr>
          <w:p>
            <w:pPr>
              <w:jc w:val="left"/>
            </w:pPr>
            <w:r>
              <w:rPr>
                <w:rFonts w:hint="eastAsia"/>
              </w:rPr>
              <w:t>科技报告</w:t>
            </w:r>
          </w:p>
        </w:tc>
        <w:tc>
          <w:tcPr>
            <w:tcW w:w="5954" w:type="dxa"/>
          </w:tcPr>
          <w:p>
            <w:pPr>
              <w:jc w:val="left"/>
            </w:pPr>
            <w:r>
              <w:rPr>
                <w:rFonts w:hint="eastAsia"/>
              </w:rPr>
              <w:t>题名、作者、作者单位、关键词、摘要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  <w:vAlign w:val="top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专利</w:t>
            </w:r>
          </w:p>
        </w:tc>
        <w:tc>
          <w:tcPr>
            <w:tcW w:w="5954" w:type="dxa"/>
            <w:vAlign w:val="top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题名、发明/设计人、申请/专利权人、申请/专利号、摘要、公开/公告号、IPC主分类号、IPC分类号</w:t>
            </w:r>
          </w:p>
        </w:tc>
      </w:tr>
    </w:tbl>
    <w:p>
      <w:pPr>
        <w:keepNext/>
        <w:widowControl/>
        <w:spacing w:line="360" w:lineRule="auto"/>
        <w:jc w:val="center"/>
        <w:rPr>
          <w:rFonts w:hint="eastAsia" w:eastAsiaTheme="minorEastAsia"/>
          <w:lang w:eastAsia="zh-CN"/>
        </w:rPr>
      </w:pPr>
    </w:p>
    <w:p>
      <w:pPr>
        <w:keepNext/>
        <w:widowControl/>
        <w:spacing w:line="360" w:lineRule="auto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770" cy="1406525"/>
            <wp:effectExtent l="0" t="0" r="5080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jc w:val="center"/>
        <w:rPr>
          <w:rFonts w:ascii="楷体" w:hAnsi="楷体" w:eastAsia="楷体"/>
          <w:sz w:val="21"/>
          <w:szCs w:val="21"/>
        </w:rPr>
      </w:pPr>
      <w:r>
        <w:rPr>
          <w:rFonts w:ascii="楷体" w:hAnsi="楷体" w:eastAsia="楷体"/>
          <w:sz w:val="21"/>
          <w:szCs w:val="21"/>
        </w:rPr>
        <w:t xml:space="preserve">Figure </w:t>
      </w:r>
      <w:r>
        <w:rPr>
          <w:rFonts w:hint="eastAsia" w:ascii="楷体" w:hAnsi="楷体" w:eastAsia="楷体"/>
          <w:sz w:val="21"/>
          <w:szCs w:val="21"/>
          <w:lang w:val="en-US" w:eastAsia="zh-CN"/>
        </w:rPr>
        <w:t>9</w:t>
      </w:r>
      <w:r>
        <w:rPr>
          <w:rFonts w:ascii="楷体" w:hAnsi="楷体" w:eastAsia="楷体"/>
          <w:sz w:val="21"/>
          <w:szCs w:val="21"/>
        </w:rPr>
        <w:t xml:space="preserve"> </w:t>
      </w:r>
      <w:r>
        <w:rPr>
          <w:rFonts w:hint="eastAsia" w:ascii="楷体" w:hAnsi="楷体" w:eastAsia="楷体"/>
          <w:sz w:val="21"/>
          <w:szCs w:val="21"/>
        </w:rPr>
        <w:t>基本检索-全部范围支持的检索字段</w:t>
      </w:r>
    </w:p>
    <w:p>
      <w:pPr>
        <w:pStyle w:val="16"/>
        <w:widowControl/>
        <w:numPr>
          <w:ilvl w:val="255"/>
          <w:numId w:val="0"/>
        </w:numPr>
        <w:spacing w:before="156" w:beforeLines="50" w:after="156" w:afterLines="50" w:line="360" w:lineRule="auto"/>
        <w:ind w:left="6"/>
        <w:outlineLvl w:val="2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1.2实体识别</w:t>
      </w:r>
    </w:p>
    <w:p>
      <w:pPr>
        <w:widowControl/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外文文献保障V1.0 对用户输入的检索词进行了识别。当用户输入检索词为期刊名称时，系统会提示用户查看相应的期刊，如下图所示。</w:t>
      </w:r>
    </w:p>
    <w:p>
      <w:pPr>
        <w:keepNext/>
        <w:widowControl/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601470"/>
            <wp:effectExtent l="0" t="0" r="7620" b="17780"/>
            <wp:docPr id="16" name="图片 16" descr="图8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8更新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jc w:val="center"/>
        <w:rPr>
          <w:rFonts w:ascii="楷体" w:hAnsi="楷体" w:eastAsia="楷体" w:cstheme="minorBidi"/>
          <w:sz w:val="21"/>
          <w:szCs w:val="21"/>
        </w:rPr>
      </w:pPr>
      <w:r>
        <w:rPr>
          <w:rFonts w:ascii="楷体" w:hAnsi="楷体" w:eastAsia="楷体" w:cstheme="minorBidi"/>
          <w:sz w:val="21"/>
          <w:szCs w:val="21"/>
        </w:rPr>
        <w:t xml:space="preserve">Figure </w:t>
      </w:r>
      <w:r>
        <w:rPr>
          <w:rFonts w:hint="eastAsia" w:ascii="楷体" w:hAnsi="楷体" w:eastAsia="楷体" w:cstheme="minorBidi"/>
          <w:sz w:val="21"/>
          <w:szCs w:val="21"/>
          <w:lang w:val="en-US" w:eastAsia="zh-CN"/>
        </w:rPr>
        <w:t>10</w:t>
      </w:r>
      <w:r>
        <w:rPr>
          <w:rFonts w:ascii="楷体" w:hAnsi="楷体" w:eastAsia="楷体" w:cstheme="minorBidi"/>
          <w:sz w:val="21"/>
          <w:szCs w:val="21"/>
        </w:rPr>
        <w:t xml:space="preserve"> </w:t>
      </w:r>
      <w:r>
        <w:rPr>
          <w:rFonts w:hint="eastAsia" w:ascii="楷体" w:hAnsi="楷体" w:eastAsia="楷体" w:cstheme="minorBidi"/>
          <w:sz w:val="21"/>
          <w:szCs w:val="21"/>
        </w:rPr>
        <w:t>期刊实体识别</w:t>
      </w:r>
    </w:p>
    <w:p>
      <w:pPr>
        <w:pStyle w:val="16"/>
        <w:widowControl/>
        <w:numPr>
          <w:ilvl w:val="255"/>
          <w:numId w:val="0"/>
        </w:numPr>
        <w:spacing w:before="156" w:beforeLines="50" w:after="156" w:afterLines="50" w:line="360" w:lineRule="auto"/>
        <w:ind w:left="6"/>
        <w:outlineLvl w:val="2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1.3 特殊检索</w:t>
      </w:r>
    </w:p>
    <w:p>
      <w:pPr>
        <w:widowControl/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除了限定字段或者直接输入检索词进行检索外，平台还支持精确检索、逻辑表达式以及括号的限定检索。</w:t>
      </w:r>
    </w:p>
    <w:p>
      <w:pPr>
        <w:widowControl/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用户可以输入英文的双引号进行精确检索，例如，输入”computer science”,系统对信息技术进行精确匹配，检索结果只包括【computer science】的文献。</w:t>
      </w:r>
    </w:p>
    <w:p>
      <w:pPr>
        <w:widowControl/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用户可以输入逻辑运算符和括号进行检索。平台支持的符号如下：</w:t>
      </w:r>
    </w:p>
    <w:p>
      <w:pPr>
        <w:widowControl/>
        <w:spacing w:line="360" w:lineRule="auto"/>
        <w:ind w:firstLine="420" w:firstLineChars="200"/>
        <w:jc w:val="center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表3</w:t>
      </w:r>
      <w:r>
        <w:rPr>
          <w:rFonts w:ascii="楷体" w:hAnsi="楷体" w:eastAsia="楷体"/>
          <w:szCs w:val="21"/>
        </w:rPr>
        <w:t xml:space="preserve"> </w:t>
      </w:r>
      <w:r>
        <w:rPr>
          <w:rFonts w:hint="eastAsia" w:ascii="楷体" w:hAnsi="楷体" w:eastAsia="楷体"/>
          <w:szCs w:val="21"/>
        </w:rPr>
        <w:t>外文文献保障V1.0支持的检索符号</w:t>
      </w:r>
    </w:p>
    <w:tbl>
      <w:tblPr>
        <w:tblStyle w:val="12"/>
        <w:tblW w:w="8647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2835"/>
        <w:gridCol w:w="425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60" w:type="dxa"/>
            <w:tcBorders>
              <w:top w:val="single" w:color="auto" w:sz="12" w:space="0"/>
              <w:bottom w:val="single" w:color="auto" w:sz="4" w:space="0"/>
            </w:tcBorders>
            <w:shd w:val="clear" w:color="auto" w:fill="DEEBF6" w:themeFill="accent5" w:themeFillTint="32"/>
          </w:tcPr>
          <w:p>
            <w:pPr>
              <w:widowControl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运算符</w:t>
            </w:r>
          </w:p>
        </w:tc>
        <w:tc>
          <w:tcPr>
            <w:tcW w:w="2835" w:type="dxa"/>
            <w:tcBorders>
              <w:top w:val="single" w:color="auto" w:sz="12" w:space="0"/>
              <w:bottom w:val="single" w:color="auto" w:sz="4" w:space="0"/>
            </w:tcBorders>
            <w:shd w:val="clear" w:color="auto" w:fill="DEEBF6" w:themeFill="accent5" w:themeFillTint="32"/>
          </w:tcPr>
          <w:p>
            <w:pPr>
              <w:widowControl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检索含义</w:t>
            </w:r>
          </w:p>
        </w:tc>
        <w:tc>
          <w:tcPr>
            <w:tcW w:w="4252" w:type="dxa"/>
            <w:tcBorders>
              <w:top w:val="single" w:color="auto" w:sz="12" w:space="0"/>
              <w:bottom w:val="single" w:color="auto" w:sz="4" w:space="0"/>
            </w:tcBorders>
            <w:shd w:val="clear" w:color="auto" w:fill="DEEBF6" w:themeFill="accent5" w:themeFillTint="32"/>
          </w:tcPr>
          <w:p>
            <w:pPr>
              <w:widowControl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举例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60" w:type="dxa"/>
            <w:tcBorders>
              <w:top w:val="single" w:color="auto" w:sz="4" w:space="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>
            <w:pPr>
              <w:widowControl/>
              <w:jc w:val="left"/>
            </w:pPr>
            <w:r>
              <w:t>AND</w:t>
            </w:r>
          </w:p>
        </w:tc>
        <w:tc>
          <w:tcPr>
            <w:tcW w:w="2835" w:type="dxa"/>
            <w:tcBorders>
              <w:top w:val="single" w:color="auto" w:sz="4" w:space="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>
            <w:pPr>
              <w:widowControl/>
              <w:jc w:val="left"/>
            </w:pPr>
            <w:r>
              <w:rPr>
                <w:rFonts w:hint="eastAsia"/>
              </w:rPr>
              <w:t>逻辑与运算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同时出现在文献中</w:t>
            </w:r>
          </w:p>
        </w:tc>
        <w:tc>
          <w:tcPr>
            <w:tcW w:w="4252" w:type="dxa"/>
            <w:tcBorders>
              <w:top w:val="single" w:color="auto" w:sz="4" w:space="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>
            <w:pPr>
              <w:widowControl/>
              <w:jc w:val="left"/>
            </w:pPr>
            <w:r>
              <w:rPr>
                <w:rFonts w:hint="eastAsia"/>
              </w:rPr>
              <w:t>题名</w:t>
            </w:r>
            <w:r>
              <w:t>:computer science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 xml:space="preserve">AND </w:t>
            </w:r>
            <w:r>
              <w:rPr>
                <w:rFonts w:hint="eastAsia"/>
              </w:rPr>
              <w:t>作者单位</w:t>
            </w:r>
            <w:r>
              <w:t>:Peking University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6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>
            <w:pPr>
              <w:widowControl/>
              <w:jc w:val="left"/>
            </w:pPr>
            <w:r>
              <w:t>OR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>
            <w:pPr>
              <w:widowControl/>
              <w:jc w:val="left"/>
            </w:pPr>
            <w:r>
              <w:rPr>
                <w:rFonts w:hint="eastAsia"/>
              </w:rPr>
              <w:t>逻辑或运算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其中一个出现在文献中</w:t>
            </w:r>
          </w:p>
        </w:tc>
        <w:tc>
          <w:tcPr>
            <w:tcW w:w="425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>
            <w:pPr>
              <w:widowControl/>
              <w:jc w:val="left"/>
            </w:pPr>
            <w:r>
              <w:rPr>
                <w:rFonts w:hint="eastAsia"/>
              </w:rPr>
              <w:t>题名</w:t>
            </w:r>
            <w:r>
              <w:t>:computer science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 xml:space="preserve">OR </w:t>
            </w:r>
            <w:r>
              <w:rPr>
                <w:rFonts w:hint="eastAsia"/>
              </w:rPr>
              <w:t>摘要</w:t>
            </w:r>
            <w:r>
              <w:rPr>
                <w:rFonts w:hint="eastAsia"/>
                <w:lang w:val="en-US" w:eastAsia="zh-CN"/>
              </w:rPr>
              <w:t>:</w:t>
            </w:r>
            <w:r>
              <w:t>Peking University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6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>
            <w:pPr>
              <w:widowControl/>
              <w:jc w:val="left"/>
            </w:pPr>
            <w:r>
              <w:t>NOT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>
            <w:pPr>
              <w:widowControl/>
              <w:jc w:val="left"/>
            </w:pPr>
            <w:r>
              <w:rPr>
                <w:rFonts w:hint="eastAsia"/>
              </w:rPr>
              <w:t>逻辑非运算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后面所跟的词不出现在文献中</w:t>
            </w:r>
          </w:p>
        </w:tc>
        <w:tc>
          <w:tcPr>
            <w:tcW w:w="425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>
            <w:pPr>
              <w:widowControl/>
              <w:jc w:val="left"/>
            </w:pPr>
            <w:r>
              <w:rPr>
                <w:rFonts w:hint="eastAsia"/>
              </w:rPr>
              <w:t>题名</w:t>
            </w:r>
            <w:r>
              <w:t>:computer science OR network society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NOT Peking University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6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>
            <w:pPr>
              <w:widowControl/>
              <w:jc w:val="left"/>
            </w:pPr>
            <w:r>
              <w:t>””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>
            <w:pPr>
              <w:widowControl/>
              <w:jc w:val="left"/>
            </w:pPr>
            <w:r>
              <w:t>精确匹配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引号中词作为整体进行查询</w:t>
            </w:r>
          </w:p>
        </w:tc>
        <w:tc>
          <w:tcPr>
            <w:tcW w:w="425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>
            <w:pPr>
              <w:widowControl/>
              <w:jc w:val="left"/>
            </w:pPr>
            <w:r>
              <w:rPr>
                <w:rFonts w:hint="eastAsia"/>
              </w:rPr>
              <w:t>刊名</w:t>
            </w:r>
            <w:r>
              <w:t>:“computer science review”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60" w:type="dxa"/>
            <w:tcBorders>
              <w:bottom w:val="single" w:color="auto" w:sz="12" w:space="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>
            <w:pPr>
              <w:widowControl/>
              <w:jc w:val="left"/>
            </w:pPr>
            <w:r>
              <w:t>()</w:t>
            </w:r>
          </w:p>
        </w:tc>
        <w:tc>
          <w:tcPr>
            <w:tcW w:w="2835" w:type="dxa"/>
            <w:tcBorders>
              <w:bottom w:val="single" w:color="auto" w:sz="12" w:space="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>
            <w:pPr>
              <w:widowControl/>
              <w:jc w:val="left"/>
            </w:pPr>
            <w:r>
              <w:rPr>
                <w:rFonts w:hint="eastAsia"/>
              </w:rPr>
              <w:t>限定检索顺序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括号中检索式作为一个子查询</w:t>
            </w:r>
          </w:p>
        </w:tc>
        <w:tc>
          <w:tcPr>
            <w:tcW w:w="4252" w:type="dxa"/>
            <w:tcBorders>
              <w:bottom w:val="single" w:color="auto" w:sz="12" w:space="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>
            <w:pPr>
              <w:widowControl/>
              <w:jc w:val="left"/>
            </w:pPr>
            <w:r>
              <w:rPr>
                <w:rFonts w:hint="eastAsia"/>
              </w:rPr>
              <w:t>题名</w:t>
            </w:r>
            <w:r>
              <w:t>:computer science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 xml:space="preserve">OR </w:t>
            </w:r>
            <w:r>
              <w:rPr>
                <w:rFonts w:hint="eastAsia"/>
              </w:rPr>
              <w:t>摘要</w:t>
            </w:r>
            <w:r>
              <w:rPr>
                <w:rFonts w:hint="eastAsia"/>
                <w:lang w:val="en-US" w:eastAsia="zh-CN"/>
              </w:rPr>
              <w:t>:</w:t>
            </w:r>
            <w:r>
              <w:t>network society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 xml:space="preserve">NOT </w:t>
            </w:r>
            <w:r>
              <w:rPr>
                <w:rFonts w:hint="eastAsia"/>
              </w:rPr>
              <w:t>题名</w:t>
            </w:r>
            <w:r>
              <w:rPr>
                <w:rFonts w:hint="eastAsia"/>
                <w:lang w:val="en-US" w:eastAsia="zh-CN"/>
              </w:rPr>
              <w:t>:</w:t>
            </w:r>
            <w:r>
              <w:t>library</w:t>
            </w:r>
          </w:p>
        </w:tc>
      </w:tr>
    </w:tbl>
    <w:p>
      <w:pPr>
        <w:widowControl/>
        <w:ind w:firstLine="400" w:firstLineChars="200"/>
        <w:jc w:val="left"/>
        <w:rPr>
          <w:rFonts w:hint="eastAsia"/>
          <w:sz w:val="20"/>
          <w:szCs w:val="20"/>
        </w:rPr>
      </w:pPr>
      <w:r>
        <w:rPr>
          <w:rFonts w:hint="eastAsia"/>
          <w:sz w:val="20"/>
          <w:szCs w:val="20"/>
        </w:rPr>
        <w:t>注：</w:t>
      </w:r>
      <w:r>
        <w:rPr>
          <w:rFonts w:hint="eastAsia"/>
          <w:sz w:val="20"/>
          <w:szCs w:val="20"/>
          <w:lang w:val="en-US" w:eastAsia="zh-CN"/>
        </w:rPr>
        <w:t>①</w:t>
      </w:r>
      <w:r>
        <w:rPr>
          <w:rFonts w:hint="eastAsia"/>
          <w:sz w:val="20"/>
          <w:szCs w:val="20"/>
        </w:rPr>
        <w:t xml:space="preserve">逻辑运算符优先级为() &gt; </w:t>
      </w:r>
      <w:r>
        <w:rPr>
          <w:rFonts w:hint="eastAsia"/>
          <w:sz w:val="20"/>
          <w:szCs w:val="20"/>
          <w:lang w:val="en-US" w:eastAsia="zh-CN"/>
        </w:rPr>
        <w:t>NOT</w:t>
      </w:r>
      <w:r>
        <w:rPr>
          <w:rFonts w:hint="eastAsia"/>
          <w:sz w:val="20"/>
          <w:szCs w:val="20"/>
        </w:rPr>
        <w:t xml:space="preserve"> &gt; </w:t>
      </w:r>
      <w:r>
        <w:rPr>
          <w:rFonts w:hint="eastAsia"/>
          <w:sz w:val="20"/>
          <w:szCs w:val="20"/>
          <w:lang w:val="en-US" w:eastAsia="zh-CN"/>
        </w:rPr>
        <w:t>AND</w:t>
      </w:r>
      <w:r>
        <w:rPr>
          <w:rFonts w:hint="eastAsia"/>
          <w:sz w:val="20"/>
          <w:szCs w:val="20"/>
        </w:rPr>
        <w:t xml:space="preserve"> &gt; </w:t>
      </w:r>
      <w:r>
        <w:rPr>
          <w:rFonts w:hint="eastAsia"/>
          <w:sz w:val="20"/>
          <w:szCs w:val="20"/>
          <w:lang w:val="en-US" w:eastAsia="zh-CN"/>
        </w:rPr>
        <w:t>OR</w:t>
      </w:r>
      <w:r>
        <w:rPr>
          <w:sz w:val="20"/>
          <w:szCs w:val="20"/>
        </w:rPr>
        <w:t>，系统按照优先级顺序执行</w:t>
      </w:r>
      <w:r>
        <w:rPr>
          <w:rFonts w:hint="eastAsia"/>
          <w:sz w:val="20"/>
          <w:szCs w:val="20"/>
        </w:rPr>
        <w:t>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226" w:right="0" w:hanging="360"/>
      </w:pPr>
      <w:r>
        <w:rPr>
          <w:rFonts w:hint="eastAsia"/>
          <w:sz w:val="20"/>
          <w:szCs w:val="20"/>
          <w:lang w:val="en-US" w:eastAsia="zh-CN"/>
        </w:rPr>
        <w:t>②</w:t>
      </w:r>
      <w:r>
        <w:rPr>
          <w:rFonts w:hint="eastAsia"/>
          <w:sz w:val="20"/>
          <w:szCs w:val="20"/>
        </w:rPr>
        <w:t>运算关系需要使用大写字母，运算符建议使用英文半角输入形式。</w:t>
      </w:r>
    </w:p>
    <w:p>
      <w:pPr>
        <w:widowControl/>
        <w:ind w:firstLine="800" w:firstLineChars="400"/>
        <w:jc w:val="left"/>
        <w:rPr>
          <w:rFonts w:hint="eastAsia" w:eastAsiaTheme="minorEastAsia"/>
          <w:sz w:val="20"/>
          <w:szCs w:val="20"/>
          <w:lang w:val="en-US" w:eastAsia="zh-CN"/>
        </w:rPr>
      </w:pPr>
    </w:p>
    <w:p>
      <w:pPr>
        <w:widowControl/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用户可以根据需求选择不同的运算符来书写检索表达式进行检索。</w:t>
      </w:r>
    </w:p>
    <w:p>
      <w:pPr>
        <w:widowControl/>
        <w:ind w:firstLine="480" w:firstLineChars="200"/>
        <w:jc w:val="left"/>
        <w:rPr>
          <w:sz w:val="24"/>
          <w:szCs w:val="24"/>
        </w:rPr>
      </w:pPr>
    </w:p>
    <w:p>
      <w:pPr>
        <w:widowControl/>
        <w:ind w:firstLine="480" w:firstLineChars="200"/>
        <w:jc w:val="left"/>
        <w:rPr>
          <w:sz w:val="24"/>
          <w:szCs w:val="24"/>
        </w:rPr>
      </w:pPr>
    </w:p>
    <w:p>
      <w:pPr>
        <w:pStyle w:val="16"/>
        <w:widowControl/>
        <w:numPr>
          <w:ilvl w:val="255"/>
          <w:numId w:val="0"/>
        </w:numPr>
        <w:spacing w:before="156" w:beforeLines="50" w:after="156" w:afterLines="50" w:line="360" w:lineRule="auto"/>
        <w:ind w:left="6"/>
        <w:outlineLvl w:val="2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1.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4</w:t>
      </w:r>
      <w:r>
        <w:rPr>
          <w:rFonts w:hint="eastAsia" w:ascii="黑体" w:hAnsi="黑体" w:eastAsia="黑体"/>
          <w:sz w:val="24"/>
          <w:szCs w:val="24"/>
        </w:rPr>
        <w:t xml:space="preserve"> 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高级</w:t>
      </w:r>
      <w:r>
        <w:rPr>
          <w:rFonts w:hint="eastAsia" w:ascii="黑体" w:hAnsi="黑体" w:eastAsia="黑体"/>
          <w:sz w:val="24"/>
          <w:szCs w:val="24"/>
        </w:rPr>
        <w:t>检索</w:t>
      </w:r>
    </w:p>
    <w:p>
      <w:pPr>
        <w:pStyle w:val="23"/>
        <w:ind w:firstLine="560"/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外文文献保障检索框的右侧有高级检索的入口，单击进入高级检索界面。高级检索支持多个检索类型、多个检索字段和条件之间的逻辑组配检索，方便用户构建复杂检索表达式。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226945"/>
            <wp:effectExtent l="0" t="0" r="12700" b="1905"/>
            <wp:docPr id="17" name="图片 17" descr="图9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9更新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jc w:val="center"/>
        <w:rPr>
          <w:rFonts w:hint="eastAsia" w:ascii="楷体" w:hAnsi="楷体" w:eastAsia="楷体" w:cstheme="minorBidi"/>
          <w:sz w:val="21"/>
          <w:szCs w:val="21"/>
          <w:lang w:eastAsia="zh-CN"/>
        </w:rPr>
      </w:pPr>
      <w:r>
        <w:rPr>
          <w:rFonts w:ascii="楷体" w:hAnsi="楷体" w:eastAsia="楷体" w:cstheme="minorBidi"/>
          <w:sz w:val="21"/>
          <w:szCs w:val="21"/>
        </w:rPr>
        <w:t xml:space="preserve">Figure </w:t>
      </w:r>
      <w:r>
        <w:rPr>
          <w:rFonts w:hint="eastAsia" w:ascii="楷体" w:hAnsi="楷体" w:eastAsia="楷体" w:cstheme="minorBidi"/>
          <w:sz w:val="21"/>
          <w:szCs w:val="21"/>
          <w:lang w:val="en-US" w:eastAsia="zh-CN"/>
        </w:rPr>
        <w:t>11</w:t>
      </w:r>
      <w:r>
        <w:rPr>
          <w:rFonts w:ascii="楷体" w:hAnsi="楷体" w:eastAsia="楷体" w:cstheme="minorBidi"/>
          <w:sz w:val="21"/>
          <w:szCs w:val="21"/>
        </w:rPr>
        <w:t xml:space="preserve"> </w:t>
      </w:r>
      <w:r>
        <w:rPr>
          <w:rFonts w:hint="eastAsia" w:ascii="楷体" w:hAnsi="楷体" w:eastAsia="楷体" w:cstheme="minorBidi"/>
          <w:sz w:val="21"/>
          <w:szCs w:val="21"/>
          <w:lang w:val="en-US" w:eastAsia="zh-CN"/>
        </w:rPr>
        <w:t>高级检索</w:t>
      </w:r>
    </w:p>
    <w:p>
      <w:pPr>
        <w:rPr>
          <w:lang w:val="en-US" w:eastAsia="zh-CN"/>
        </w:rPr>
      </w:pPr>
    </w:p>
    <w:p>
      <w:pPr>
        <w:pStyle w:val="23"/>
        <w:ind w:firstLine="560"/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在高级检索界面，用户可以根据自己需要，选择想要检索的资源类型。系统通过附加检索条件，帮助用户提升检索的准确率；</w:t>
      </w:r>
    </w:p>
    <w:p>
      <w:pPr>
        <w:pStyle w:val="23"/>
        <w:ind w:firstLine="560"/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86690" cy="201295"/>
            <wp:effectExtent l="0" t="0" r="381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或者</w:t>
      </w: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73355" cy="180340"/>
            <wp:effectExtent l="0" t="0" r="1714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，表示添加或者减少检索条件；</w:t>
      </w:r>
    </w:p>
    <w:p>
      <w:pPr>
        <w:pStyle w:val="23"/>
        <w:ind w:firstLine="560"/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“AND”、“OR”和“NOT”，表示限定检索条件，优先级为：NOT&gt;AND&gt;OR；</w:t>
      </w:r>
    </w:p>
    <w:p>
      <w:pPr>
        <w:widowControl/>
        <w:ind w:firstLine="480" w:firstLineChars="200"/>
        <w:jc w:val="left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精确和模糊检索，表示是否拆分输入的词组。</w:t>
      </w:r>
    </w:p>
    <w:p>
      <w:pPr>
        <w:widowControl/>
        <w:ind w:firstLine="480" w:firstLineChars="200"/>
        <w:jc w:val="left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widowControl/>
        <w:ind w:firstLine="480" w:firstLineChars="200"/>
        <w:jc w:val="left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widowControl/>
        <w:ind w:firstLine="480" w:firstLineChars="200"/>
        <w:jc w:val="left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widowControl/>
        <w:ind w:firstLine="480" w:firstLineChars="200"/>
        <w:jc w:val="left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widowControl/>
        <w:ind w:firstLine="480" w:firstLineChars="200"/>
        <w:jc w:val="left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widowControl/>
        <w:jc w:val="left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pStyle w:val="16"/>
        <w:widowControl/>
        <w:numPr>
          <w:ilvl w:val="255"/>
          <w:numId w:val="0"/>
        </w:numPr>
        <w:spacing w:before="156" w:beforeLines="50" w:after="156" w:afterLines="50" w:line="360" w:lineRule="auto"/>
        <w:ind w:left="6"/>
        <w:outlineLvl w:val="2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1.5 专业检索</w:t>
      </w:r>
    </w:p>
    <w:p>
      <w:pPr>
        <w:pStyle w:val="23"/>
        <w:ind w:firstLine="560"/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进入高级检索界面后，选择专业检索。</w:t>
      </w:r>
    </w:p>
    <w:p>
      <w:pP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7325" cy="2858770"/>
            <wp:effectExtent l="0" t="0" r="9525" b="17780"/>
            <wp:docPr id="19" name="图片 19" descr="图10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10更新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jc w:val="center"/>
        <w:rPr>
          <w:rFonts w:hint="eastAsia" w:ascii="楷体" w:hAnsi="楷体" w:eastAsia="楷体" w:cstheme="minorBidi"/>
          <w:sz w:val="21"/>
          <w:szCs w:val="21"/>
          <w:lang w:val="en-US" w:eastAsia="zh-CN"/>
        </w:rPr>
      </w:pPr>
      <w:r>
        <w:rPr>
          <w:rFonts w:ascii="楷体" w:hAnsi="楷体" w:eastAsia="楷体" w:cstheme="minorBidi"/>
          <w:sz w:val="21"/>
          <w:szCs w:val="21"/>
        </w:rPr>
        <w:t xml:space="preserve">Figure </w:t>
      </w:r>
      <w:r>
        <w:rPr>
          <w:rFonts w:hint="eastAsia" w:ascii="楷体" w:hAnsi="楷体" w:eastAsia="楷体" w:cstheme="minorBidi"/>
          <w:sz w:val="21"/>
          <w:szCs w:val="21"/>
          <w:lang w:val="en-US" w:eastAsia="zh-CN"/>
        </w:rPr>
        <w:t>12</w:t>
      </w:r>
      <w:r>
        <w:rPr>
          <w:rFonts w:ascii="楷体" w:hAnsi="楷体" w:eastAsia="楷体" w:cstheme="minorBidi"/>
          <w:sz w:val="21"/>
          <w:szCs w:val="21"/>
        </w:rPr>
        <w:t xml:space="preserve"> </w:t>
      </w:r>
      <w:r>
        <w:rPr>
          <w:rFonts w:hint="eastAsia" w:ascii="楷体" w:hAnsi="楷体" w:eastAsia="楷体" w:cstheme="minorBidi"/>
          <w:sz w:val="21"/>
          <w:szCs w:val="21"/>
          <w:lang w:val="en-US" w:eastAsia="zh-CN"/>
        </w:rPr>
        <w:t>专业检索</w:t>
      </w:r>
    </w:p>
    <w:p>
      <w:pPr>
        <w:rPr>
          <w:lang w:val="en-US" w:eastAsia="zh-CN"/>
        </w:rPr>
      </w:pPr>
    </w:p>
    <w:p>
      <w:pPr>
        <w:pStyle w:val="23"/>
        <w:ind w:firstLine="560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专业检索是所有检索方式里面比较复杂的一种检索方法。需要用户自己输入检索式来检索，并且确保所输入的检索式语法正确，这样才能检索到想要的结果。每个资源有独有的专业检索字段。</w:t>
      </w:r>
    </w:p>
    <w:p>
      <w:pPr>
        <w:widowControl/>
        <w:jc w:val="left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pStyle w:val="16"/>
        <w:numPr>
          <w:ilvl w:val="0"/>
          <w:numId w:val="6"/>
        </w:numPr>
        <w:spacing w:line="360" w:lineRule="auto"/>
        <w:ind w:left="357" w:hanging="357" w:firstLineChars="0"/>
        <w:outlineLvl w:val="1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文献服务模块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外文文献保障服务平台集成包括期刊、学位、会议和科技报告4种资源类型在内的8000多万篇中外文学术文献，全面覆盖各学科、各行业。在知识产权许可下，系统为用户提供资源多种渠道的文献获取服务，帮助用户便捷获取所需资源，实现快速、简便、易用、流畅的无缝检索体验与文献获取保障。</w:t>
      </w:r>
    </w:p>
    <w:p>
      <w:pPr>
        <w:ind w:firstLine="480" w:firstLineChars="200"/>
        <w:jc w:val="left"/>
        <w:rPr>
          <w:sz w:val="24"/>
          <w:szCs w:val="24"/>
        </w:rPr>
      </w:pPr>
    </w:p>
    <w:p>
      <w:pPr>
        <w:ind w:firstLine="480" w:firstLineChars="200"/>
        <w:jc w:val="left"/>
        <w:rPr>
          <w:sz w:val="24"/>
          <w:szCs w:val="24"/>
        </w:rPr>
      </w:pPr>
    </w:p>
    <w:p>
      <w:pPr>
        <w:pStyle w:val="16"/>
        <w:numPr>
          <w:ilvl w:val="0"/>
          <w:numId w:val="8"/>
        </w:numPr>
        <w:spacing w:line="360" w:lineRule="auto"/>
        <w:ind w:firstLineChars="0"/>
        <w:outlineLvl w:val="2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原文传递服务</w:t>
      </w:r>
    </w:p>
    <w:p>
      <w:pPr>
        <w:ind w:firstLine="480"/>
        <w:jc w:val="left"/>
        <w:rPr>
          <w:sz w:val="24"/>
          <w:szCs w:val="24"/>
        </w:rPr>
      </w:pPr>
      <w:r>
        <w:rPr>
          <w:sz w:val="24"/>
          <w:szCs w:val="24"/>
        </w:rPr>
        <w:t>系统提供期刊、学位、会议、科技报告的全文的原文传递服务。机构用户可以通过原文传递服务便捷快速的获取所需资源。</w:t>
      </w:r>
    </w:p>
    <w:p>
      <w:pPr>
        <w:pStyle w:val="23"/>
        <w:ind w:firstLine="0" w:firstLineChars="0"/>
      </w:pPr>
      <w:r>
        <w:drawing>
          <wp:inline distT="0" distB="0" distL="114300" distR="114300">
            <wp:extent cx="5267960" cy="805180"/>
            <wp:effectExtent l="0" t="0" r="8890" b="139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0" w:firstLineChars="0"/>
        <w:jc w:val="center"/>
        <w:rPr>
          <w:rFonts w:eastAsia="楷体"/>
        </w:rPr>
      </w:pPr>
      <w:r>
        <w:rPr>
          <w:rFonts w:ascii="楷体" w:hAnsi="楷体" w:eastAsia="楷体"/>
          <w:sz w:val="21"/>
          <w:szCs w:val="21"/>
        </w:rPr>
        <w:t xml:space="preserve">Figure </w:t>
      </w:r>
      <w:r>
        <w:rPr>
          <w:rFonts w:hint="eastAsia" w:ascii="楷体" w:hAnsi="楷体" w:eastAsia="楷体"/>
          <w:sz w:val="21"/>
          <w:szCs w:val="21"/>
        </w:rPr>
        <w:t>1</w:t>
      </w:r>
      <w:r>
        <w:rPr>
          <w:rFonts w:hint="eastAsia" w:ascii="楷体" w:hAnsi="楷体" w:eastAsia="楷体"/>
          <w:sz w:val="21"/>
          <w:szCs w:val="21"/>
          <w:lang w:val="en-US" w:eastAsia="zh-CN"/>
        </w:rPr>
        <w:t>3</w:t>
      </w:r>
      <w:r>
        <w:rPr>
          <w:rFonts w:ascii="楷体" w:hAnsi="楷体" w:eastAsia="楷体"/>
          <w:sz w:val="21"/>
          <w:szCs w:val="21"/>
        </w:rPr>
        <w:t xml:space="preserve"> </w:t>
      </w:r>
      <w:r>
        <w:rPr>
          <w:rFonts w:hint="eastAsia" w:ascii="楷体" w:hAnsi="楷体" w:eastAsia="楷体"/>
          <w:sz w:val="21"/>
          <w:szCs w:val="21"/>
        </w:rPr>
        <w:t>原文传递</w:t>
      </w:r>
    </w:p>
    <w:p>
      <w:pPr>
        <w:pStyle w:val="16"/>
        <w:numPr>
          <w:ilvl w:val="0"/>
          <w:numId w:val="8"/>
        </w:numPr>
        <w:spacing w:line="360" w:lineRule="auto"/>
        <w:ind w:firstLineChars="0"/>
        <w:outlineLvl w:val="2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O</w:t>
      </w:r>
      <w:r>
        <w:rPr>
          <w:rFonts w:ascii="黑体" w:hAnsi="黑体" w:eastAsia="黑体"/>
          <w:sz w:val="28"/>
          <w:szCs w:val="28"/>
        </w:rPr>
        <w:t>A</w:t>
      </w:r>
      <w:r>
        <w:rPr>
          <w:rFonts w:hint="eastAsia" w:ascii="黑体" w:hAnsi="黑体" w:eastAsia="黑体"/>
          <w:sz w:val="28"/>
          <w:szCs w:val="28"/>
        </w:rPr>
        <w:t>外链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平台提供 OA 外链的获取方式，点击“免费全文”后，需要到 OA 平台获取全文。</w:t>
      </w:r>
    </w:p>
    <w:p>
      <w:pPr>
        <w:pStyle w:val="23"/>
        <w:ind w:firstLine="0" w:firstLineChars="0"/>
      </w:pPr>
      <w:r>
        <w:drawing>
          <wp:inline distT="0" distB="0" distL="114300" distR="114300">
            <wp:extent cx="5272405" cy="963930"/>
            <wp:effectExtent l="0" t="0" r="4445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0" w:firstLineChars="0"/>
        <w:jc w:val="center"/>
        <w:rPr>
          <w:rFonts w:ascii="楷体" w:hAnsi="楷体" w:eastAsia="楷体"/>
          <w:sz w:val="21"/>
          <w:szCs w:val="21"/>
        </w:rPr>
      </w:pPr>
      <w:r>
        <w:rPr>
          <w:rFonts w:ascii="楷体" w:hAnsi="楷体" w:eastAsia="楷体"/>
          <w:sz w:val="21"/>
          <w:szCs w:val="21"/>
        </w:rPr>
        <w:t xml:space="preserve">Figure </w:t>
      </w:r>
      <w:r>
        <w:rPr>
          <w:rFonts w:hint="eastAsia" w:ascii="楷体" w:hAnsi="楷体" w:eastAsia="楷体"/>
          <w:sz w:val="21"/>
          <w:szCs w:val="21"/>
        </w:rPr>
        <w:t>1</w:t>
      </w:r>
      <w:r>
        <w:rPr>
          <w:rFonts w:hint="eastAsia" w:ascii="楷体" w:hAnsi="楷体" w:eastAsia="楷体"/>
          <w:sz w:val="21"/>
          <w:szCs w:val="21"/>
          <w:lang w:val="en-US" w:eastAsia="zh-CN"/>
        </w:rPr>
        <w:t>4</w:t>
      </w:r>
      <w:r>
        <w:rPr>
          <w:rFonts w:ascii="楷体" w:hAnsi="楷体" w:eastAsia="楷体"/>
          <w:sz w:val="21"/>
          <w:szCs w:val="21"/>
        </w:rPr>
        <w:t xml:space="preserve"> </w:t>
      </w:r>
      <w:r>
        <w:rPr>
          <w:rFonts w:hint="eastAsia" w:ascii="楷体" w:hAnsi="楷体" w:eastAsia="楷体"/>
          <w:sz w:val="21"/>
          <w:szCs w:val="21"/>
        </w:rPr>
        <w:t>免费全文</w:t>
      </w:r>
    </w:p>
    <w:p>
      <w:pPr>
        <w:pStyle w:val="23"/>
        <w:ind w:firstLine="0" w:firstLineChars="0"/>
        <w:jc w:val="center"/>
        <w:rPr>
          <w:rFonts w:ascii="楷体" w:hAnsi="楷体" w:eastAsia="楷体"/>
          <w:sz w:val="21"/>
          <w:szCs w:val="21"/>
        </w:rPr>
      </w:pPr>
    </w:p>
    <w:p>
      <w:pPr>
        <w:pStyle w:val="16"/>
        <w:numPr>
          <w:ilvl w:val="0"/>
          <w:numId w:val="8"/>
        </w:numPr>
        <w:spacing w:line="360" w:lineRule="auto"/>
        <w:ind w:firstLineChars="0"/>
        <w:outlineLvl w:val="2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在线阅读和下载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系统提供</w:t>
      </w:r>
      <w:r>
        <w:rPr>
          <w:rFonts w:hint="eastAsia"/>
          <w:sz w:val="24"/>
          <w:szCs w:val="24"/>
        </w:rPr>
        <w:t>部分</w:t>
      </w:r>
      <w:r>
        <w:rPr>
          <w:sz w:val="24"/>
          <w:szCs w:val="24"/>
        </w:rPr>
        <w:t>会议全文的在线阅读和下载。单击检索结果页面和文献详情页面的“在线阅读”按钮可以查看文献，“下载”按钮可将文献下载到本地。</w:t>
      </w:r>
    </w:p>
    <w:p>
      <w:r>
        <w:drawing>
          <wp:inline distT="0" distB="0" distL="114300" distR="114300">
            <wp:extent cx="5272405" cy="1081405"/>
            <wp:effectExtent l="0" t="0" r="4445" b="444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 xml:space="preserve">Figure </w:t>
      </w:r>
      <w:r>
        <w:rPr>
          <w:rFonts w:hint="eastAsia" w:ascii="楷体" w:hAnsi="楷体" w:eastAsia="楷体"/>
          <w:szCs w:val="21"/>
        </w:rPr>
        <w:t>1</w:t>
      </w:r>
      <w:r>
        <w:rPr>
          <w:rFonts w:hint="eastAsia" w:ascii="楷体" w:hAnsi="楷体" w:eastAsia="楷体"/>
          <w:szCs w:val="21"/>
          <w:lang w:val="en-US" w:eastAsia="zh-CN"/>
        </w:rPr>
        <w:t>5</w:t>
      </w:r>
      <w:r>
        <w:rPr>
          <w:rFonts w:ascii="楷体" w:hAnsi="楷体" w:eastAsia="楷体"/>
          <w:szCs w:val="21"/>
        </w:rPr>
        <w:t xml:space="preserve"> </w:t>
      </w:r>
      <w:r>
        <w:rPr>
          <w:rFonts w:hint="eastAsia" w:ascii="楷体" w:hAnsi="楷体" w:eastAsia="楷体"/>
          <w:szCs w:val="21"/>
        </w:rPr>
        <w:t>在线阅读和下载</w:t>
      </w:r>
    </w:p>
    <w:p>
      <w:pPr>
        <w:jc w:val="both"/>
        <w:rPr>
          <w:rFonts w:ascii="楷体" w:hAnsi="楷体" w:eastAsia="楷体"/>
          <w:szCs w:val="21"/>
        </w:rPr>
      </w:pPr>
    </w:p>
    <w:p>
      <w:pPr>
        <w:rPr>
          <w:rFonts w:ascii="Arial" w:hAnsi="Arial" w:eastAsia="仿宋" w:cs="Arial"/>
          <w:sz w:val="28"/>
        </w:rPr>
      </w:pPr>
      <w:r>
        <w:drawing>
          <wp:inline distT="0" distB="0" distL="114300" distR="114300">
            <wp:extent cx="5261610" cy="2246630"/>
            <wp:effectExtent l="0" t="0" r="15240" b="127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0" w:firstLineChars="0"/>
        <w:jc w:val="center"/>
        <w:rPr>
          <w:rFonts w:hint="eastAsia" w:ascii="楷体" w:hAnsi="楷体" w:eastAsia="楷体"/>
          <w:sz w:val="21"/>
          <w:szCs w:val="21"/>
        </w:rPr>
      </w:pPr>
      <w:r>
        <w:rPr>
          <w:rFonts w:ascii="楷体" w:hAnsi="楷体" w:eastAsia="楷体"/>
          <w:sz w:val="21"/>
          <w:szCs w:val="21"/>
        </w:rPr>
        <w:t xml:space="preserve">Figure </w:t>
      </w:r>
      <w:r>
        <w:rPr>
          <w:rFonts w:hint="eastAsia" w:ascii="楷体" w:hAnsi="楷体" w:eastAsia="楷体"/>
          <w:sz w:val="21"/>
          <w:szCs w:val="21"/>
        </w:rPr>
        <w:t>1</w:t>
      </w:r>
      <w:r>
        <w:rPr>
          <w:rFonts w:hint="eastAsia" w:ascii="楷体" w:hAnsi="楷体" w:eastAsia="楷体"/>
          <w:sz w:val="21"/>
          <w:szCs w:val="21"/>
          <w:lang w:val="en-US" w:eastAsia="zh-CN"/>
        </w:rPr>
        <w:t>6</w:t>
      </w:r>
      <w:r>
        <w:rPr>
          <w:rFonts w:ascii="楷体" w:hAnsi="楷体" w:eastAsia="楷体"/>
          <w:sz w:val="21"/>
          <w:szCs w:val="21"/>
        </w:rPr>
        <w:t xml:space="preserve"> </w:t>
      </w:r>
      <w:r>
        <w:rPr>
          <w:rFonts w:hint="eastAsia" w:ascii="楷体" w:hAnsi="楷体" w:eastAsia="楷体"/>
          <w:sz w:val="21"/>
          <w:szCs w:val="21"/>
        </w:rPr>
        <w:t>在线阅读全文页面</w:t>
      </w:r>
    </w:p>
    <w:p>
      <w:pPr>
        <w:pStyle w:val="23"/>
        <w:ind w:firstLine="0" w:firstLineChars="0"/>
        <w:jc w:val="center"/>
        <w:rPr>
          <w:rFonts w:hint="eastAsia" w:ascii="楷体" w:hAnsi="楷体" w:eastAsia="楷体"/>
          <w:sz w:val="21"/>
          <w:szCs w:val="21"/>
        </w:rPr>
      </w:pPr>
    </w:p>
    <w:p>
      <w:pPr>
        <w:pStyle w:val="16"/>
        <w:numPr>
          <w:ilvl w:val="0"/>
          <w:numId w:val="8"/>
        </w:numPr>
        <w:spacing w:line="360" w:lineRule="auto"/>
        <w:ind w:firstLineChars="0"/>
        <w:outlineLvl w:val="2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文摘快译</w:t>
      </w:r>
    </w:p>
    <w:p>
      <w:pPr>
        <w:ind w:firstLine="480" w:firstLineChars="200"/>
        <w:jc w:val="left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/>
          <w:sz w:val="24"/>
          <w:szCs w:val="24"/>
          <w:lang w:val="en-US" w:eastAsia="zh-CN"/>
        </w:rPr>
        <w:t>文摘快译功能</w:t>
      </w:r>
      <w:r>
        <w:rPr>
          <w:sz w:val="24"/>
          <w:szCs w:val="24"/>
          <w:lang w:val="en-US" w:eastAsia="zh-CN"/>
        </w:rPr>
        <w:t>支持将30余种语言</w:t>
      </w:r>
      <w:r>
        <w:rPr>
          <w:rFonts w:hint="eastAsia"/>
          <w:sz w:val="24"/>
          <w:szCs w:val="24"/>
          <w:lang w:val="en-US" w:eastAsia="zh-CN"/>
        </w:rPr>
        <w:t>实时翻</w:t>
      </w:r>
      <w:r>
        <w:rPr>
          <w:sz w:val="24"/>
          <w:szCs w:val="24"/>
          <w:lang w:val="en-US" w:eastAsia="zh-CN"/>
        </w:rPr>
        <w:t>译成简体中文</w:t>
      </w:r>
      <w:r>
        <w:rPr>
          <w:rFonts w:hint="eastAsia"/>
          <w:sz w:val="24"/>
          <w:szCs w:val="24"/>
          <w:lang w:val="en-US" w:eastAsia="zh-CN"/>
        </w:rPr>
        <w:t>。点击“文摘快译”按钮，</w:t>
      </w:r>
      <w:r>
        <w:rPr>
          <w:sz w:val="24"/>
          <w:szCs w:val="24"/>
          <w:lang w:val="en-US" w:eastAsia="zh-CN"/>
        </w:rPr>
        <w:t>文献题名、摘要、关键词字段</w:t>
      </w:r>
      <w:r>
        <w:rPr>
          <w:rFonts w:hint="eastAsia"/>
          <w:sz w:val="24"/>
          <w:szCs w:val="24"/>
          <w:lang w:val="en-US" w:eastAsia="zh-CN"/>
        </w:rPr>
        <w:t>下方对应展示中文译文</w:t>
      </w:r>
      <w:r>
        <w:rPr>
          <w:sz w:val="24"/>
          <w:szCs w:val="24"/>
          <w:lang w:val="en-US" w:eastAsia="zh-CN"/>
        </w:rPr>
        <w:t>。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73675" cy="2147570"/>
            <wp:effectExtent l="0" t="0" r="3175" b="50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0" w:firstLineChars="0"/>
        <w:jc w:val="center"/>
        <w:rPr>
          <w:rFonts w:hint="default" w:eastAsia="楷体"/>
          <w:lang w:val="en-US" w:eastAsia="zh-CN"/>
        </w:rPr>
      </w:pPr>
      <w:r>
        <w:rPr>
          <w:rFonts w:ascii="楷体" w:hAnsi="楷体" w:eastAsia="楷体"/>
          <w:sz w:val="21"/>
          <w:szCs w:val="21"/>
        </w:rPr>
        <w:t xml:space="preserve">Figure </w:t>
      </w:r>
      <w:r>
        <w:rPr>
          <w:rFonts w:hint="eastAsia" w:ascii="楷体" w:hAnsi="楷体" w:eastAsia="楷体"/>
          <w:sz w:val="21"/>
          <w:szCs w:val="21"/>
        </w:rPr>
        <w:t>1</w:t>
      </w:r>
      <w:r>
        <w:rPr>
          <w:rFonts w:hint="eastAsia" w:ascii="楷体" w:hAnsi="楷体" w:eastAsia="楷体"/>
          <w:sz w:val="21"/>
          <w:szCs w:val="21"/>
          <w:lang w:val="en-US" w:eastAsia="zh-CN"/>
        </w:rPr>
        <w:t>7</w:t>
      </w:r>
      <w:r>
        <w:rPr>
          <w:rFonts w:ascii="楷体" w:hAnsi="楷体" w:eastAsia="楷体"/>
          <w:sz w:val="21"/>
          <w:szCs w:val="21"/>
        </w:rPr>
        <w:t xml:space="preserve"> </w:t>
      </w:r>
      <w:r>
        <w:rPr>
          <w:rFonts w:hint="eastAsia" w:ascii="楷体" w:hAnsi="楷体" w:eastAsia="楷体"/>
          <w:sz w:val="21"/>
          <w:szCs w:val="21"/>
          <w:lang w:val="en-US" w:eastAsia="zh-CN"/>
        </w:rPr>
        <w:t>文摘快译</w:t>
      </w:r>
    </w:p>
    <w:p>
      <w:pPr>
        <w:pStyle w:val="23"/>
        <w:ind w:firstLine="0" w:firstLineChars="0"/>
        <w:jc w:val="center"/>
        <w:rPr>
          <w:rFonts w:hint="eastAsia" w:ascii="楷体" w:hAnsi="楷体" w:eastAsia="楷体"/>
          <w:sz w:val="21"/>
          <w:szCs w:val="21"/>
        </w:rPr>
      </w:pP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br w:type="page"/>
      </w:r>
    </w:p>
    <w:p>
      <w:pPr>
        <w:pStyle w:val="2"/>
        <w:spacing w:line="360" w:lineRule="auto"/>
        <w:jc w:val="center"/>
        <w:rPr>
          <w:rFonts w:ascii="黑体" w:hAnsi="黑体" w:eastAsia="黑体"/>
          <w:sz w:val="32"/>
          <w:szCs w:val="32"/>
        </w:rPr>
      </w:pPr>
      <w:bookmarkStart w:id="6" w:name="_GoBack"/>
      <w:bookmarkEnd w:id="6"/>
      <w:r>
        <w:rPr>
          <w:rFonts w:hint="eastAsia" w:ascii="黑体" w:hAnsi="黑体" w:eastAsia="黑体"/>
          <w:sz w:val="32"/>
          <w:szCs w:val="32"/>
        </w:rPr>
        <w:t>第五</w:t>
      </w:r>
      <w:r>
        <w:rPr>
          <w:rFonts w:ascii="黑体" w:hAnsi="黑体" w:eastAsia="黑体"/>
          <w:sz w:val="32"/>
          <w:szCs w:val="32"/>
        </w:rPr>
        <w:t xml:space="preserve">部分 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引用</w:t>
      </w:r>
      <w:r>
        <w:rPr>
          <w:rFonts w:hint="eastAsia" w:ascii="黑体" w:hAnsi="黑体" w:eastAsia="黑体"/>
          <w:sz w:val="32"/>
          <w:szCs w:val="32"/>
        </w:rPr>
        <w:t>功能使用说明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用户点击“</w:t>
      </w:r>
      <w:r>
        <w:rPr>
          <w:rFonts w:hint="eastAsia"/>
          <w:sz w:val="24"/>
          <w:szCs w:val="24"/>
          <w:lang w:val="en-US" w:eastAsia="zh-CN"/>
        </w:rPr>
        <w:t>引用</w:t>
      </w:r>
      <w:r>
        <w:rPr>
          <w:sz w:val="24"/>
          <w:szCs w:val="24"/>
        </w:rPr>
        <w:t>”按钮，可根据需要导出不同的文献格式。用户可直接导出参考文献，也可将文献加入</w:t>
      </w:r>
      <w:r>
        <w:rPr>
          <w:rFonts w:hint="eastAsia"/>
          <w:sz w:val="24"/>
          <w:szCs w:val="24"/>
          <w:lang w:val="en-US" w:eastAsia="zh-CN"/>
        </w:rPr>
        <w:t>导出</w:t>
      </w:r>
      <w:r>
        <w:rPr>
          <w:sz w:val="24"/>
          <w:szCs w:val="24"/>
        </w:rPr>
        <w:t>列表，导出页面的文献累积记录，即用户可在检索结果页重复添加文献至导出页面，添加后导出页面自动刷新数据；参考文献格式导出支持期刊、学位、会议、科技报告类型的国家</w:t>
      </w:r>
      <w:r>
        <w:rPr>
          <w:rFonts w:hint="eastAsia"/>
          <w:sz w:val="24"/>
          <w:szCs w:val="24"/>
        </w:rPr>
        <w:t>著录</w:t>
      </w:r>
      <w:r>
        <w:rPr>
          <w:sz w:val="24"/>
          <w:szCs w:val="24"/>
        </w:rPr>
        <w:t>标准格式、Note</w:t>
      </w:r>
      <w:r>
        <w:rPr>
          <w:rFonts w:hint="eastAsia"/>
          <w:sz w:val="24"/>
          <w:szCs w:val="24"/>
        </w:rPr>
        <w:t>Express</w:t>
      </w:r>
      <w:r>
        <w:rPr>
          <w:sz w:val="24"/>
          <w:szCs w:val="24"/>
        </w:rPr>
        <w:t>、Ref</w:t>
      </w:r>
      <w:r>
        <w:rPr>
          <w:rFonts w:hint="eastAsia"/>
          <w:sz w:val="24"/>
          <w:szCs w:val="24"/>
        </w:rPr>
        <w:t>W</w:t>
      </w:r>
      <w:r>
        <w:rPr>
          <w:sz w:val="24"/>
          <w:szCs w:val="24"/>
        </w:rPr>
        <w:t>orks、NoteFirst、End</w:t>
      </w:r>
      <w:r>
        <w:rPr>
          <w:rFonts w:hint="eastAsia"/>
          <w:sz w:val="24"/>
          <w:szCs w:val="24"/>
        </w:rPr>
        <w:t>note</w:t>
      </w:r>
      <w:r>
        <w:rPr>
          <w:sz w:val="24"/>
          <w:szCs w:val="24"/>
        </w:rPr>
        <w:t>、Bibtex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查新</w:t>
      </w:r>
      <w:r>
        <w:rPr>
          <w:rFonts w:hint="eastAsia"/>
          <w:sz w:val="24"/>
          <w:szCs w:val="24"/>
        </w:rPr>
        <w:t>格式</w:t>
      </w:r>
      <w:r>
        <w:rPr>
          <w:sz w:val="24"/>
          <w:szCs w:val="24"/>
        </w:rPr>
        <w:t>的导出。此外，还可</w:t>
      </w:r>
      <w:r>
        <w:rPr>
          <w:rFonts w:hint="eastAsia"/>
          <w:sz w:val="24"/>
          <w:szCs w:val="24"/>
        </w:rPr>
        <w:t>根据用户需求灵活</w:t>
      </w:r>
      <w:r>
        <w:rPr>
          <w:sz w:val="24"/>
          <w:szCs w:val="24"/>
        </w:rPr>
        <w:t>实现自定义</w:t>
      </w:r>
      <w:r>
        <w:rPr>
          <w:rFonts w:hint="eastAsia"/>
          <w:sz w:val="24"/>
          <w:szCs w:val="24"/>
        </w:rPr>
        <w:t>所需求</w:t>
      </w:r>
      <w:r>
        <w:rPr>
          <w:sz w:val="24"/>
          <w:szCs w:val="24"/>
        </w:rPr>
        <w:t>的字段</w:t>
      </w:r>
      <w:r>
        <w:rPr>
          <w:rFonts w:hint="eastAsia"/>
          <w:sz w:val="24"/>
          <w:szCs w:val="24"/>
        </w:rPr>
        <w:t>进行导出</w:t>
      </w:r>
      <w:r>
        <w:rPr>
          <w:sz w:val="24"/>
          <w:szCs w:val="24"/>
        </w:rPr>
        <w:t>。</w:t>
      </w:r>
    </w:p>
    <w:p>
      <w:pPr>
        <w:jc w:val="left"/>
      </w:pPr>
      <w:r>
        <w:drawing>
          <wp:inline distT="0" distB="0" distL="114300" distR="114300">
            <wp:extent cx="5264785" cy="2322195"/>
            <wp:effectExtent l="0" t="0" r="12065" b="190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0" w:firstLineChars="0"/>
        <w:jc w:val="center"/>
        <w:rPr>
          <w:rFonts w:hint="eastAsia" w:ascii="楷体" w:hAnsi="楷体" w:eastAsia="楷体"/>
          <w:sz w:val="21"/>
          <w:szCs w:val="21"/>
        </w:rPr>
      </w:pPr>
      <w:r>
        <w:rPr>
          <w:rFonts w:ascii="楷体" w:hAnsi="楷体" w:eastAsia="楷体"/>
          <w:sz w:val="21"/>
          <w:szCs w:val="21"/>
        </w:rPr>
        <w:t xml:space="preserve">Figure </w:t>
      </w:r>
      <w:r>
        <w:rPr>
          <w:rFonts w:hint="eastAsia" w:ascii="楷体" w:hAnsi="楷体" w:eastAsia="楷体"/>
          <w:sz w:val="21"/>
          <w:szCs w:val="21"/>
        </w:rPr>
        <w:t>1</w:t>
      </w:r>
      <w:r>
        <w:rPr>
          <w:rFonts w:hint="eastAsia" w:ascii="楷体" w:hAnsi="楷体" w:eastAsia="楷体"/>
          <w:sz w:val="21"/>
          <w:szCs w:val="21"/>
          <w:lang w:val="en-US" w:eastAsia="zh-CN"/>
        </w:rPr>
        <w:t>8</w:t>
      </w:r>
      <w:r>
        <w:rPr>
          <w:rFonts w:ascii="楷体" w:hAnsi="楷体" w:eastAsia="楷体"/>
          <w:sz w:val="21"/>
          <w:szCs w:val="21"/>
        </w:rPr>
        <w:t xml:space="preserve"> </w:t>
      </w:r>
      <w:r>
        <w:rPr>
          <w:rFonts w:hint="eastAsia" w:ascii="楷体" w:hAnsi="楷体" w:eastAsia="楷体"/>
          <w:sz w:val="21"/>
          <w:szCs w:val="21"/>
        </w:rPr>
        <w:t>导出参考文献格式</w:t>
      </w:r>
    </w:p>
    <w:p>
      <w:pPr>
        <w:pStyle w:val="23"/>
        <w:ind w:firstLine="0" w:firstLineChars="0"/>
        <w:jc w:val="center"/>
        <w:rPr>
          <w:rFonts w:hint="eastAsia" w:ascii="楷体" w:hAnsi="楷体" w:eastAsia="楷体"/>
          <w:sz w:val="21"/>
          <w:szCs w:val="21"/>
        </w:rPr>
      </w:pPr>
    </w:p>
    <w:p>
      <w:pPr>
        <w:ind w:firstLine="480" w:firstLineChars="200"/>
        <w:jc w:val="left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对于单篇文献，用户可在检索结果页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详情页</w:t>
      </w:r>
      <w:r>
        <w:rPr>
          <w:rFonts w:hint="eastAsia"/>
          <w:sz w:val="24"/>
          <w:szCs w:val="24"/>
        </w:rPr>
        <w:t>进行</w:t>
      </w:r>
      <w:r>
        <w:rPr>
          <w:rFonts w:hint="eastAsia"/>
          <w:sz w:val="24"/>
          <w:szCs w:val="24"/>
          <w:lang w:val="en-US" w:eastAsia="zh-CN"/>
        </w:rPr>
        <w:t>引用</w:t>
      </w:r>
      <w:r>
        <w:rPr>
          <w:rFonts w:hint="eastAsia"/>
          <w:sz w:val="24"/>
          <w:szCs w:val="24"/>
        </w:rPr>
        <w:t>操作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支持对多种格式的快速导出。</w:t>
      </w:r>
    </w:p>
    <w:p>
      <w:pPr>
        <w:jc w:val="left"/>
      </w:pPr>
      <w:r>
        <w:drawing>
          <wp:inline distT="0" distB="0" distL="114300" distR="114300">
            <wp:extent cx="5266055" cy="1401445"/>
            <wp:effectExtent l="0" t="0" r="10795" b="825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0" w:firstLineChars="0"/>
        <w:jc w:val="center"/>
        <w:rPr>
          <w:rFonts w:hint="default" w:eastAsia="楷体"/>
          <w:lang w:val="en-US" w:eastAsia="zh-CN"/>
        </w:rPr>
      </w:pPr>
      <w:r>
        <w:rPr>
          <w:rFonts w:ascii="楷体" w:hAnsi="楷体" w:eastAsia="楷体"/>
          <w:sz w:val="21"/>
          <w:szCs w:val="21"/>
        </w:rPr>
        <w:t xml:space="preserve">Figure </w:t>
      </w:r>
      <w:r>
        <w:rPr>
          <w:rFonts w:hint="eastAsia" w:ascii="楷体" w:hAnsi="楷体" w:eastAsia="楷体"/>
          <w:sz w:val="21"/>
          <w:szCs w:val="21"/>
        </w:rPr>
        <w:t>1</w:t>
      </w:r>
      <w:r>
        <w:rPr>
          <w:rFonts w:hint="eastAsia" w:ascii="楷体" w:hAnsi="楷体" w:eastAsia="楷体"/>
          <w:sz w:val="21"/>
          <w:szCs w:val="21"/>
          <w:lang w:val="en-US" w:eastAsia="zh-CN"/>
        </w:rPr>
        <w:t>9 单篇引用</w:t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ind w:firstLine="480" w:firstLineChars="20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对于多篇文献，用户可全选、清除、导出操作，实现多篇文献的统一操作管理。</w:t>
      </w:r>
    </w:p>
    <w:p>
      <w:pPr>
        <w:jc w:val="left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65420" cy="2641600"/>
            <wp:effectExtent l="9525" t="9525" r="20955" b="1587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0" w:firstLineChars="0"/>
        <w:jc w:val="center"/>
      </w:pPr>
      <w:r>
        <w:rPr>
          <w:rFonts w:ascii="楷体" w:hAnsi="楷体" w:eastAsia="楷体"/>
          <w:sz w:val="21"/>
          <w:szCs w:val="21"/>
        </w:rPr>
        <w:t xml:space="preserve">Figure </w:t>
      </w:r>
      <w:r>
        <w:rPr>
          <w:rFonts w:hint="eastAsia" w:ascii="楷体" w:hAnsi="楷体" w:eastAsia="楷体"/>
          <w:sz w:val="21"/>
          <w:szCs w:val="21"/>
        </w:rPr>
        <w:t>1</w:t>
      </w:r>
      <w:r>
        <w:rPr>
          <w:rFonts w:hint="eastAsia" w:ascii="楷体" w:hAnsi="楷体" w:eastAsia="楷体"/>
          <w:sz w:val="21"/>
          <w:szCs w:val="21"/>
          <w:lang w:val="en-US" w:eastAsia="zh-CN"/>
        </w:rPr>
        <w:t>7</w:t>
      </w:r>
      <w:r>
        <w:rPr>
          <w:rFonts w:ascii="楷体" w:hAnsi="楷体" w:eastAsia="楷体"/>
          <w:sz w:val="21"/>
          <w:szCs w:val="21"/>
        </w:rPr>
        <w:t xml:space="preserve"> </w:t>
      </w:r>
      <w:r>
        <w:rPr>
          <w:rFonts w:hint="eastAsia" w:ascii="楷体" w:hAnsi="楷体" w:eastAsia="楷体"/>
          <w:sz w:val="21"/>
          <w:szCs w:val="21"/>
        </w:rPr>
        <w:t>导出参考文献格式</w:t>
      </w:r>
      <w:bookmarkEnd w:id="3"/>
    </w:p>
    <w:sectPr>
      <w:headerReference r:id="rId6" w:type="default"/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</w:p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276" w:lineRule="auto"/>
      <w:jc w:val="both"/>
      <w:rPr>
        <w:b/>
      </w:rPr>
    </w:pPr>
    <w:r>
      <w:rPr>
        <w:rFonts w:hint="eastAsia"/>
      </w:rPr>
      <w:t>外文文献保障服务平台</w:t>
    </w:r>
    <w:r>
      <w:rPr>
        <w:b/>
      </w:rPr>
      <w:ptab w:relativeTo="margin" w:alignment="center" w:leader="none"/>
    </w:r>
    <w:r>
      <w:rPr>
        <w:b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right"/>
    </w:pPr>
    <w:r>
      <w:rPr>
        <w:rFonts w:hint="eastAsia"/>
      </w:rPr>
      <w:t>外文文献保障服务平台</w:t>
    </w:r>
    <w:r>
      <w:rPr>
        <w:b/>
      </w:rPr>
      <w:ptab w:relativeTo="margin" w:alignment="center" w:leader="none"/>
    </w:r>
    <w:r>
      <w:rPr>
        <w:b/>
      </w:rPr>
      <w:ptab w:relativeTo="margin" w:alignment="right" w:leader="none"/>
    </w:r>
    <w:r>
      <w:rPr>
        <w:rFonts w:hint="eastAsia"/>
        <w:b/>
      </w:rPr>
      <w:t>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right="180"/>
      <w:jc w:val="left"/>
      <w:rPr>
        <w:sz w:val="21"/>
        <w:szCs w:val="22"/>
      </w:rPr>
    </w:pPr>
    <w:r>
      <w:rPr>
        <w:rFonts w:hint="eastAsia"/>
      </w:rPr>
      <w:t>外文文献保障服务平台</w:t>
    </w:r>
    <w:r>
      <w:rPr>
        <w:b/>
      </w:rPr>
      <w:t xml:space="preserve">                                                          </w:t>
    </w:r>
    <w:r>
      <w:t xml:space="preserve"> </w:t>
    </w:r>
    <w:sdt>
      <w:sdtPr>
        <w:id w:val="279392965"/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4</w:t>
        </w:r>
        <w: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4AAB23"/>
    <w:multiLevelType w:val="multilevel"/>
    <w:tmpl w:val="F14AAB2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>
    <w:nsid w:val="072F54D7"/>
    <w:multiLevelType w:val="singleLevel"/>
    <w:tmpl w:val="072F54D7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14D3318"/>
    <w:multiLevelType w:val="multilevel"/>
    <w:tmpl w:val="214D331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ADD6F1C"/>
    <w:multiLevelType w:val="multilevel"/>
    <w:tmpl w:val="3ADD6F1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598" w:hanging="598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56C512FE"/>
    <w:multiLevelType w:val="multilevel"/>
    <w:tmpl w:val="56C512F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3340C8A"/>
    <w:multiLevelType w:val="multilevel"/>
    <w:tmpl w:val="63340C8A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65275D7A"/>
    <w:multiLevelType w:val="multilevel"/>
    <w:tmpl w:val="65275D7A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6FD87C38"/>
    <w:multiLevelType w:val="multilevel"/>
    <w:tmpl w:val="6FD87C38"/>
    <w:lvl w:ilvl="0" w:tentative="0">
      <w:start w:val="1"/>
      <w:numFmt w:val="decimal"/>
      <w:lvlText w:val="2.%1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RhNTMzM2ZjNDUwNGNjNTE2YTZkYzA5ZTJhM2QxZmEifQ=="/>
  </w:docVars>
  <w:rsids>
    <w:rsidRoot w:val="00F946B7"/>
    <w:rsid w:val="00005118"/>
    <w:rsid w:val="00022264"/>
    <w:rsid w:val="00034ECC"/>
    <w:rsid w:val="00043AAB"/>
    <w:rsid w:val="0004561E"/>
    <w:rsid w:val="00047754"/>
    <w:rsid w:val="00064D18"/>
    <w:rsid w:val="000655C1"/>
    <w:rsid w:val="00076023"/>
    <w:rsid w:val="00086F6B"/>
    <w:rsid w:val="00090C48"/>
    <w:rsid w:val="000A3E18"/>
    <w:rsid w:val="000F0F39"/>
    <w:rsid w:val="000F303C"/>
    <w:rsid w:val="000F53D4"/>
    <w:rsid w:val="000F552B"/>
    <w:rsid w:val="000F6F3E"/>
    <w:rsid w:val="0010596F"/>
    <w:rsid w:val="00105EDB"/>
    <w:rsid w:val="00106B65"/>
    <w:rsid w:val="001113C2"/>
    <w:rsid w:val="001226F6"/>
    <w:rsid w:val="00122ABE"/>
    <w:rsid w:val="00127488"/>
    <w:rsid w:val="001460B2"/>
    <w:rsid w:val="0016253D"/>
    <w:rsid w:val="001905C1"/>
    <w:rsid w:val="001A14EF"/>
    <w:rsid w:val="001A52F5"/>
    <w:rsid w:val="001A7295"/>
    <w:rsid w:val="001C1C66"/>
    <w:rsid w:val="001F12D5"/>
    <w:rsid w:val="001F4227"/>
    <w:rsid w:val="00200845"/>
    <w:rsid w:val="00202AE3"/>
    <w:rsid w:val="00224899"/>
    <w:rsid w:val="00226780"/>
    <w:rsid w:val="00245039"/>
    <w:rsid w:val="002478AF"/>
    <w:rsid w:val="00256E84"/>
    <w:rsid w:val="0027120C"/>
    <w:rsid w:val="00295AE4"/>
    <w:rsid w:val="002A46DB"/>
    <w:rsid w:val="002B1438"/>
    <w:rsid w:val="002B5653"/>
    <w:rsid w:val="00304D85"/>
    <w:rsid w:val="00310EF3"/>
    <w:rsid w:val="0032690A"/>
    <w:rsid w:val="00337C49"/>
    <w:rsid w:val="00337D0A"/>
    <w:rsid w:val="00337EF5"/>
    <w:rsid w:val="00341FD9"/>
    <w:rsid w:val="003442F8"/>
    <w:rsid w:val="00353C45"/>
    <w:rsid w:val="00354CD8"/>
    <w:rsid w:val="00354FEE"/>
    <w:rsid w:val="003A0DE7"/>
    <w:rsid w:val="003B3332"/>
    <w:rsid w:val="003B5727"/>
    <w:rsid w:val="003C36ED"/>
    <w:rsid w:val="003F1F3A"/>
    <w:rsid w:val="004108D2"/>
    <w:rsid w:val="00426008"/>
    <w:rsid w:val="00435436"/>
    <w:rsid w:val="00435B9C"/>
    <w:rsid w:val="00437C76"/>
    <w:rsid w:val="00441BDA"/>
    <w:rsid w:val="004457EE"/>
    <w:rsid w:val="00447247"/>
    <w:rsid w:val="004771E7"/>
    <w:rsid w:val="004B13DA"/>
    <w:rsid w:val="004B3E36"/>
    <w:rsid w:val="004C3955"/>
    <w:rsid w:val="004D484A"/>
    <w:rsid w:val="004E0E77"/>
    <w:rsid w:val="004E2911"/>
    <w:rsid w:val="004E3B73"/>
    <w:rsid w:val="004F44F9"/>
    <w:rsid w:val="0051705E"/>
    <w:rsid w:val="0051779B"/>
    <w:rsid w:val="005250BC"/>
    <w:rsid w:val="00527768"/>
    <w:rsid w:val="00531035"/>
    <w:rsid w:val="00532251"/>
    <w:rsid w:val="00533797"/>
    <w:rsid w:val="005536B6"/>
    <w:rsid w:val="005556D0"/>
    <w:rsid w:val="00555FAB"/>
    <w:rsid w:val="005630CD"/>
    <w:rsid w:val="00563552"/>
    <w:rsid w:val="0056364D"/>
    <w:rsid w:val="00582C34"/>
    <w:rsid w:val="00596936"/>
    <w:rsid w:val="005A3099"/>
    <w:rsid w:val="005B2E82"/>
    <w:rsid w:val="005B5488"/>
    <w:rsid w:val="005B6C09"/>
    <w:rsid w:val="005C08A3"/>
    <w:rsid w:val="005D10B0"/>
    <w:rsid w:val="00607AD3"/>
    <w:rsid w:val="0061210D"/>
    <w:rsid w:val="00625FDE"/>
    <w:rsid w:val="00635B90"/>
    <w:rsid w:val="0064450B"/>
    <w:rsid w:val="00663BB1"/>
    <w:rsid w:val="006859C9"/>
    <w:rsid w:val="006A1F5E"/>
    <w:rsid w:val="006C3416"/>
    <w:rsid w:val="006D39F3"/>
    <w:rsid w:val="006E78D8"/>
    <w:rsid w:val="00702F79"/>
    <w:rsid w:val="007144F5"/>
    <w:rsid w:val="007147BF"/>
    <w:rsid w:val="00726E52"/>
    <w:rsid w:val="00735D54"/>
    <w:rsid w:val="00745B4A"/>
    <w:rsid w:val="007773B5"/>
    <w:rsid w:val="00786B81"/>
    <w:rsid w:val="00793CF3"/>
    <w:rsid w:val="0079494F"/>
    <w:rsid w:val="007A142B"/>
    <w:rsid w:val="007B72B1"/>
    <w:rsid w:val="007C722F"/>
    <w:rsid w:val="007E269F"/>
    <w:rsid w:val="007E6E12"/>
    <w:rsid w:val="00800A38"/>
    <w:rsid w:val="00820446"/>
    <w:rsid w:val="00841888"/>
    <w:rsid w:val="008876F9"/>
    <w:rsid w:val="008C06E6"/>
    <w:rsid w:val="008C57E8"/>
    <w:rsid w:val="008E1B06"/>
    <w:rsid w:val="008F24EE"/>
    <w:rsid w:val="00902C7D"/>
    <w:rsid w:val="00907015"/>
    <w:rsid w:val="00933CC6"/>
    <w:rsid w:val="009348F8"/>
    <w:rsid w:val="009511FD"/>
    <w:rsid w:val="00971993"/>
    <w:rsid w:val="00972736"/>
    <w:rsid w:val="009857C5"/>
    <w:rsid w:val="0099065D"/>
    <w:rsid w:val="009960D2"/>
    <w:rsid w:val="009A7F7E"/>
    <w:rsid w:val="009B076C"/>
    <w:rsid w:val="009C1477"/>
    <w:rsid w:val="009C5159"/>
    <w:rsid w:val="009D2141"/>
    <w:rsid w:val="009D416E"/>
    <w:rsid w:val="009D7CCC"/>
    <w:rsid w:val="009E5773"/>
    <w:rsid w:val="009E7F5D"/>
    <w:rsid w:val="009F5F72"/>
    <w:rsid w:val="00A02ED4"/>
    <w:rsid w:val="00A057E0"/>
    <w:rsid w:val="00A15913"/>
    <w:rsid w:val="00A50A3E"/>
    <w:rsid w:val="00A5323F"/>
    <w:rsid w:val="00A91B72"/>
    <w:rsid w:val="00AD119C"/>
    <w:rsid w:val="00AE2B6C"/>
    <w:rsid w:val="00AF79E3"/>
    <w:rsid w:val="00B004DF"/>
    <w:rsid w:val="00B10316"/>
    <w:rsid w:val="00B133DF"/>
    <w:rsid w:val="00B141EA"/>
    <w:rsid w:val="00B15310"/>
    <w:rsid w:val="00B2207F"/>
    <w:rsid w:val="00B33249"/>
    <w:rsid w:val="00B33A48"/>
    <w:rsid w:val="00B6480A"/>
    <w:rsid w:val="00B80260"/>
    <w:rsid w:val="00B90823"/>
    <w:rsid w:val="00BA567B"/>
    <w:rsid w:val="00BC5544"/>
    <w:rsid w:val="00BF77DE"/>
    <w:rsid w:val="00C24586"/>
    <w:rsid w:val="00C42720"/>
    <w:rsid w:val="00C55891"/>
    <w:rsid w:val="00C65987"/>
    <w:rsid w:val="00C772F2"/>
    <w:rsid w:val="00CA043E"/>
    <w:rsid w:val="00CA0499"/>
    <w:rsid w:val="00CA7899"/>
    <w:rsid w:val="00CB6D34"/>
    <w:rsid w:val="00CC087E"/>
    <w:rsid w:val="00D10E86"/>
    <w:rsid w:val="00D13042"/>
    <w:rsid w:val="00D3293D"/>
    <w:rsid w:val="00D36CC7"/>
    <w:rsid w:val="00D67FA3"/>
    <w:rsid w:val="00D71057"/>
    <w:rsid w:val="00D74456"/>
    <w:rsid w:val="00D76EEB"/>
    <w:rsid w:val="00D829B5"/>
    <w:rsid w:val="00D8650E"/>
    <w:rsid w:val="00D87005"/>
    <w:rsid w:val="00DF038E"/>
    <w:rsid w:val="00DF6640"/>
    <w:rsid w:val="00DF6850"/>
    <w:rsid w:val="00DF6DA9"/>
    <w:rsid w:val="00DF7DCD"/>
    <w:rsid w:val="00DF7E82"/>
    <w:rsid w:val="00E142B3"/>
    <w:rsid w:val="00E21F5D"/>
    <w:rsid w:val="00E437F0"/>
    <w:rsid w:val="00E755D8"/>
    <w:rsid w:val="00E82619"/>
    <w:rsid w:val="00EC51D3"/>
    <w:rsid w:val="00EC7E72"/>
    <w:rsid w:val="00ED557A"/>
    <w:rsid w:val="00EF4B57"/>
    <w:rsid w:val="00F15FDA"/>
    <w:rsid w:val="00F43267"/>
    <w:rsid w:val="00F765AA"/>
    <w:rsid w:val="00F85F56"/>
    <w:rsid w:val="00F92D75"/>
    <w:rsid w:val="00F946B7"/>
    <w:rsid w:val="00F9652D"/>
    <w:rsid w:val="00FB5CA7"/>
    <w:rsid w:val="00FC04DD"/>
    <w:rsid w:val="00FC7FD1"/>
    <w:rsid w:val="00FD694C"/>
    <w:rsid w:val="00FE1E92"/>
    <w:rsid w:val="00FF78A3"/>
    <w:rsid w:val="01E73CD1"/>
    <w:rsid w:val="02E01E0D"/>
    <w:rsid w:val="077C434A"/>
    <w:rsid w:val="07A960C3"/>
    <w:rsid w:val="08F10ABA"/>
    <w:rsid w:val="0C252B57"/>
    <w:rsid w:val="0D6F6F67"/>
    <w:rsid w:val="108F2E61"/>
    <w:rsid w:val="16362002"/>
    <w:rsid w:val="1B00394C"/>
    <w:rsid w:val="23796DCC"/>
    <w:rsid w:val="280C751C"/>
    <w:rsid w:val="289C499D"/>
    <w:rsid w:val="29422B4E"/>
    <w:rsid w:val="29B93E87"/>
    <w:rsid w:val="32713776"/>
    <w:rsid w:val="37C849F3"/>
    <w:rsid w:val="3F890B68"/>
    <w:rsid w:val="43AE6577"/>
    <w:rsid w:val="4CBE1552"/>
    <w:rsid w:val="4ECC7B82"/>
    <w:rsid w:val="506B54D7"/>
    <w:rsid w:val="66060F60"/>
    <w:rsid w:val="66412918"/>
    <w:rsid w:val="67802D9F"/>
    <w:rsid w:val="68DD73C5"/>
    <w:rsid w:val="734F68CA"/>
    <w:rsid w:val="7DC8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6"/>
      <w:szCs w:val="32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8">
    <w:name w:val="annotation text"/>
    <w:basedOn w:val="1"/>
    <w:link w:val="26"/>
    <w:unhideWhenUsed/>
    <w:qFormat/>
    <w:uiPriority w:val="99"/>
    <w:pPr>
      <w:jc w:val="left"/>
    </w:pPr>
    <w:rPr>
      <w:rFonts w:eastAsia="仿宋"/>
      <w:sz w:val="28"/>
    </w:rPr>
  </w:style>
  <w:style w:type="paragraph" w:styleId="9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annotation reference"/>
    <w:basedOn w:val="14"/>
    <w:semiHidden/>
    <w:unhideWhenUsed/>
    <w:qFormat/>
    <w:uiPriority w:val="99"/>
    <w:rPr>
      <w:sz w:val="21"/>
      <w:szCs w:val="21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Char"/>
    <w:basedOn w:val="14"/>
    <w:link w:val="11"/>
    <w:qFormat/>
    <w:uiPriority w:val="99"/>
    <w:rPr>
      <w:sz w:val="18"/>
      <w:szCs w:val="18"/>
    </w:rPr>
  </w:style>
  <w:style w:type="character" w:customStyle="1" w:styleId="18">
    <w:name w:val="页脚 Char"/>
    <w:basedOn w:val="14"/>
    <w:link w:val="10"/>
    <w:qFormat/>
    <w:uiPriority w:val="99"/>
    <w:rPr>
      <w:sz w:val="18"/>
      <w:szCs w:val="18"/>
    </w:rPr>
  </w:style>
  <w:style w:type="character" w:customStyle="1" w:styleId="19">
    <w:name w:val="标题 1 Char"/>
    <w:basedOn w:val="14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0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6"/>
      <w:szCs w:val="32"/>
    </w:rPr>
  </w:style>
  <w:style w:type="character" w:customStyle="1" w:styleId="21">
    <w:name w:val="标题 3 Char"/>
    <w:basedOn w:val="14"/>
    <w:link w:val="4"/>
    <w:semiHidden/>
    <w:qFormat/>
    <w:uiPriority w:val="9"/>
    <w:rPr>
      <w:b/>
      <w:bCs/>
      <w:sz w:val="32"/>
      <w:szCs w:val="32"/>
    </w:rPr>
  </w:style>
  <w:style w:type="character" w:customStyle="1" w:styleId="22">
    <w:name w:val="标题 4 Char"/>
    <w:basedOn w:val="14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3">
    <w:name w:val="仿宋四号"/>
    <w:basedOn w:val="1"/>
    <w:link w:val="24"/>
    <w:qFormat/>
    <w:uiPriority w:val="0"/>
    <w:pPr>
      <w:ind w:firstLine="200" w:firstLineChars="200"/>
    </w:pPr>
    <w:rPr>
      <w:rFonts w:ascii="仿宋" w:hAnsi="仿宋" w:eastAsia="仿宋"/>
      <w:sz w:val="28"/>
      <w:szCs w:val="28"/>
    </w:rPr>
  </w:style>
  <w:style w:type="character" w:customStyle="1" w:styleId="24">
    <w:name w:val="仿宋四号 字符"/>
    <w:basedOn w:val="14"/>
    <w:link w:val="23"/>
    <w:qFormat/>
    <w:uiPriority w:val="0"/>
    <w:rPr>
      <w:rFonts w:ascii="仿宋" w:hAnsi="仿宋" w:eastAsia="仿宋"/>
      <w:sz w:val="28"/>
      <w:szCs w:val="28"/>
    </w:rPr>
  </w:style>
  <w:style w:type="character" w:customStyle="1" w:styleId="25">
    <w:name w:val="标题 5 Char"/>
    <w:basedOn w:val="14"/>
    <w:link w:val="6"/>
    <w:qFormat/>
    <w:uiPriority w:val="9"/>
    <w:rPr>
      <w:b/>
      <w:bCs/>
      <w:sz w:val="28"/>
      <w:szCs w:val="28"/>
    </w:rPr>
  </w:style>
  <w:style w:type="character" w:customStyle="1" w:styleId="26">
    <w:name w:val="批注文字 Char"/>
    <w:basedOn w:val="14"/>
    <w:link w:val="8"/>
    <w:qFormat/>
    <w:uiPriority w:val="99"/>
    <w:rPr>
      <w:rFonts w:eastAsia="仿宋"/>
      <w:sz w:val="28"/>
    </w:rPr>
  </w:style>
  <w:style w:type="character" w:customStyle="1" w:styleId="27">
    <w:name w:val="批注框文本 Char"/>
    <w:basedOn w:val="14"/>
    <w:link w:val="9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3242</Words>
  <Characters>3668</Characters>
  <Lines>23</Lines>
  <Paragraphs>6</Paragraphs>
  <TotalTime>1</TotalTime>
  <ScaleCrop>false</ScaleCrop>
  <LinksUpToDate>false</LinksUpToDate>
  <CharactersWithSpaces>3768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2018-06-05T02:35:00Z</dcterms:created>
  <dc:creator>liujing2</dc:creator>
  <cp:lastModifiedBy>Isabel Zheng</cp:lastModifiedBy>
  <cp:lastPrinted>2018-03-02T05:36:00Z</cp:lastPrinted>
  <dcterms:modified xsi:type="dcterms:W3CDTF">2023-01-06T06:00:20Z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D79FB4D7D6324A6A8517FE80495B3588</vt:lpwstr>
  </property>
</Properties>
</file>